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21" w:rsidRPr="00692B05" w:rsidRDefault="00C10E9A" w:rsidP="00BA5221">
      <w:pPr>
        <w:autoSpaceDE w:val="0"/>
        <w:autoSpaceDN w:val="0"/>
        <w:adjustRightInd w:val="0"/>
        <w:spacing w:after="0" w:line="240" w:lineRule="auto"/>
        <w:jc w:val="center"/>
        <w:rPr>
          <w:rFonts w:ascii="Comic Sans MS" w:hAnsi="Comic Sans MS" w:cs="ComicSansMS-Bold"/>
          <w:bCs/>
          <w:sz w:val="24"/>
          <w:szCs w:val="24"/>
          <w:u w:val="single"/>
        </w:rPr>
      </w:pPr>
      <w:r>
        <w:rPr>
          <w:rFonts w:ascii="Comic Sans MS" w:hAnsi="Comic Sans MS" w:cs="ComicSansMS-Bold"/>
          <w:bCs/>
          <w:noProof/>
          <w:sz w:val="24"/>
          <w:szCs w:val="24"/>
          <w:u w:val="single"/>
          <w:lang w:eastAsia="en-GB"/>
        </w:rPr>
        <w:drawing>
          <wp:anchor distT="0" distB="0" distL="114300" distR="114300" simplePos="0" relativeHeight="251658240" behindDoc="1" locked="0" layoutInCell="1" allowOverlap="1">
            <wp:simplePos x="0" y="0"/>
            <wp:positionH relativeFrom="column">
              <wp:posOffset>5550535</wp:posOffset>
            </wp:positionH>
            <wp:positionV relativeFrom="paragraph">
              <wp:posOffset>-733425</wp:posOffset>
            </wp:positionV>
            <wp:extent cx="705485" cy="838200"/>
            <wp:effectExtent l="0" t="0" r="0" b="0"/>
            <wp:wrapTight wrapText="bothSides">
              <wp:wrapPolygon edited="0">
                <wp:start x="0" y="0"/>
                <wp:lineTo x="0" y="21109"/>
                <wp:lineTo x="20997" y="21109"/>
                <wp:lineTo x="20997" y="0"/>
                <wp:lineTo x="0" y="0"/>
              </wp:wrapPolygon>
            </wp:wrapTight>
            <wp:docPr id="1" name="Picture 1" descr="C:\Users\marj.cook\Desktop\RED ROW FIRST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j.cook\Desktop\RED ROW FIRST SCH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2DF">
        <w:rPr>
          <w:rFonts w:ascii="Comic Sans MS" w:hAnsi="Comic Sans MS" w:cs="ComicSansMS-Bold"/>
          <w:bCs/>
          <w:sz w:val="24"/>
          <w:szCs w:val="24"/>
          <w:u w:val="single"/>
        </w:rPr>
        <w:t>Impact of</w:t>
      </w:r>
      <w:r w:rsidR="0047441A">
        <w:rPr>
          <w:rFonts w:ascii="Comic Sans MS" w:hAnsi="Comic Sans MS" w:cs="ComicSansMS-Bold"/>
          <w:bCs/>
          <w:sz w:val="24"/>
          <w:szCs w:val="24"/>
          <w:u w:val="single"/>
        </w:rPr>
        <w:t xml:space="preserve"> </w:t>
      </w:r>
      <w:r w:rsidR="00BA5221" w:rsidRPr="00692B05">
        <w:rPr>
          <w:rFonts w:ascii="Comic Sans MS" w:hAnsi="Comic Sans MS" w:cs="ComicSansMS-Bold"/>
          <w:bCs/>
          <w:sz w:val="24"/>
          <w:szCs w:val="24"/>
          <w:u w:val="single"/>
        </w:rPr>
        <w:t>Pupil Premium 201</w:t>
      </w:r>
      <w:r w:rsidR="009A5D18">
        <w:rPr>
          <w:rFonts w:ascii="Comic Sans MS" w:hAnsi="Comic Sans MS" w:cs="ComicSansMS-Bold"/>
          <w:bCs/>
          <w:sz w:val="24"/>
          <w:szCs w:val="24"/>
          <w:u w:val="single"/>
        </w:rPr>
        <w:t>8</w:t>
      </w:r>
      <w:r w:rsidR="0006714D" w:rsidRPr="00692B05">
        <w:rPr>
          <w:rFonts w:ascii="Comic Sans MS" w:hAnsi="Comic Sans MS" w:cs="ComicSansMS-Bold"/>
          <w:bCs/>
          <w:sz w:val="24"/>
          <w:szCs w:val="24"/>
          <w:u w:val="single"/>
        </w:rPr>
        <w:t>/1</w:t>
      </w:r>
      <w:r w:rsidR="009A5D18">
        <w:rPr>
          <w:rFonts w:ascii="Comic Sans MS" w:hAnsi="Comic Sans MS" w:cs="ComicSansMS-Bold"/>
          <w:bCs/>
          <w:sz w:val="24"/>
          <w:szCs w:val="24"/>
          <w:u w:val="single"/>
        </w:rPr>
        <w:t>9</w:t>
      </w:r>
      <w:bookmarkStart w:id="0" w:name="_GoBack"/>
      <w:bookmarkEnd w:id="0"/>
    </w:p>
    <w:p w:rsidR="00A37BE0" w:rsidRPr="008440D9" w:rsidRDefault="00A37BE0" w:rsidP="00A37BE0">
      <w:pPr>
        <w:pStyle w:val="Default"/>
        <w:rPr>
          <w:rFonts w:cs="ComicSansMS"/>
          <w:sz w:val="22"/>
          <w:szCs w:val="22"/>
        </w:rPr>
      </w:pPr>
      <w:r w:rsidRPr="00692B05">
        <w:rPr>
          <w:rFonts w:cs="ComicSansMS"/>
          <w:sz w:val="22"/>
          <w:szCs w:val="22"/>
        </w:rPr>
        <w:t xml:space="preserve">School is allocated, by the </w:t>
      </w:r>
      <w:r w:rsidRPr="008440D9">
        <w:rPr>
          <w:rFonts w:cs="ComicSansMS"/>
          <w:sz w:val="22"/>
          <w:szCs w:val="22"/>
        </w:rPr>
        <w:t xml:space="preserve">government, a sum of money each year to address the current underlying inequalities between children eligible for free school meals and their wealthier peers. </w:t>
      </w:r>
    </w:p>
    <w:p w:rsidR="00A37BE0" w:rsidRPr="008440D9" w:rsidRDefault="00A37BE0" w:rsidP="00A37BE0">
      <w:pPr>
        <w:pStyle w:val="Default"/>
        <w:rPr>
          <w:rFonts w:cs="ComicSansMS"/>
          <w:sz w:val="22"/>
          <w:szCs w:val="22"/>
        </w:rPr>
      </w:pPr>
    </w:p>
    <w:p w:rsidR="00A37BE0" w:rsidRPr="008440D9" w:rsidRDefault="00A37BE0" w:rsidP="00A37BE0">
      <w:pPr>
        <w:pStyle w:val="Default"/>
        <w:rPr>
          <w:sz w:val="22"/>
          <w:szCs w:val="22"/>
        </w:rPr>
      </w:pPr>
      <w:r w:rsidRPr="008440D9">
        <w:rPr>
          <w:sz w:val="22"/>
          <w:szCs w:val="22"/>
        </w:rPr>
        <w:t xml:space="preserve">This amount was £1,300 for each child eligible for Free School Meals (FSM) or £1,900 for children in the care of the local authority (LAC) with an additional £300 for each child with a parent in the Armed Services. The LAC money is released separately by LAC schools representative. </w:t>
      </w:r>
    </w:p>
    <w:p w:rsidR="00A37BE0" w:rsidRPr="008440D9" w:rsidRDefault="00A37BE0" w:rsidP="00A37BE0">
      <w:pPr>
        <w:pStyle w:val="Default"/>
        <w:rPr>
          <w:sz w:val="22"/>
          <w:szCs w:val="22"/>
        </w:rPr>
      </w:pPr>
    </w:p>
    <w:tbl>
      <w:tblPr>
        <w:tblStyle w:val="TableGrid"/>
        <w:tblW w:w="4621" w:type="dxa"/>
        <w:tblLook w:val="04A0" w:firstRow="1" w:lastRow="0" w:firstColumn="1" w:lastColumn="0" w:noHBand="0" w:noVBand="1"/>
      </w:tblPr>
      <w:tblGrid>
        <w:gridCol w:w="4621"/>
      </w:tblGrid>
      <w:tr w:rsidR="00A37BE0" w:rsidRPr="008440D9" w:rsidTr="009E169C">
        <w:tc>
          <w:tcPr>
            <w:tcW w:w="4621" w:type="dxa"/>
          </w:tcPr>
          <w:p w:rsidR="00A37BE0" w:rsidRPr="008440D9" w:rsidRDefault="00A37BE0" w:rsidP="009E169C">
            <w:pPr>
              <w:pStyle w:val="Default"/>
              <w:jc w:val="center"/>
              <w:rPr>
                <w:sz w:val="22"/>
                <w:szCs w:val="22"/>
              </w:rPr>
            </w:pPr>
            <w:r w:rsidRPr="008440D9">
              <w:rPr>
                <w:sz w:val="22"/>
                <w:szCs w:val="22"/>
              </w:rPr>
              <w:t>201</w:t>
            </w:r>
            <w:r>
              <w:rPr>
                <w:sz w:val="22"/>
                <w:szCs w:val="22"/>
              </w:rPr>
              <w:t>8/19 Financial Year</w:t>
            </w:r>
          </w:p>
        </w:tc>
      </w:tr>
      <w:tr w:rsidR="00A37BE0" w:rsidRPr="008440D9" w:rsidTr="009E169C">
        <w:tc>
          <w:tcPr>
            <w:tcW w:w="4621" w:type="dxa"/>
          </w:tcPr>
          <w:p w:rsidR="00A37BE0" w:rsidRPr="008440D9" w:rsidRDefault="00A37BE0" w:rsidP="009E169C">
            <w:pPr>
              <w:pStyle w:val="Default"/>
              <w:rPr>
                <w:sz w:val="20"/>
                <w:szCs w:val="20"/>
              </w:rPr>
            </w:pPr>
            <w:r w:rsidRPr="008440D9">
              <w:rPr>
                <w:sz w:val="20"/>
                <w:szCs w:val="20"/>
              </w:rPr>
              <w:t>In Red Row First School this sum came to £</w:t>
            </w:r>
            <w:r>
              <w:rPr>
                <w:sz w:val="20"/>
                <w:szCs w:val="20"/>
              </w:rPr>
              <w:t>54,540</w:t>
            </w:r>
            <w:r w:rsidRPr="008440D9">
              <w:rPr>
                <w:sz w:val="20"/>
                <w:szCs w:val="20"/>
              </w:rPr>
              <w:t>.</w:t>
            </w:r>
          </w:p>
          <w:p w:rsidR="00A37BE0" w:rsidRPr="008440D9" w:rsidRDefault="00A37BE0" w:rsidP="009E169C">
            <w:pPr>
              <w:pStyle w:val="Default"/>
              <w:rPr>
                <w:sz w:val="20"/>
                <w:szCs w:val="20"/>
              </w:rPr>
            </w:pPr>
            <w:r w:rsidRPr="008440D9">
              <w:rPr>
                <w:sz w:val="20"/>
                <w:szCs w:val="20"/>
              </w:rPr>
              <w:t xml:space="preserve">· FSM – 37 children @ £1,320 = £48,840 </w:t>
            </w:r>
          </w:p>
          <w:p w:rsidR="00A37BE0" w:rsidRPr="008440D9" w:rsidRDefault="00A37BE0" w:rsidP="009E169C">
            <w:pPr>
              <w:pStyle w:val="Default"/>
              <w:rPr>
                <w:sz w:val="20"/>
                <w:szCs w:val="20"/>
              </w:rPr>
            </w:pPr>
            <w:r w:rsidRPr="008440D9">
              <w:rPr>
                <w:sz w:val="20"/>
                <w:szCs w:val="20"/>
              </w:rPr>
              <w:t>· CLA – 0 children @ £1,900 = £0</w:t>
            </w:r>
          </w:p>
          <w:p w:rsidR="00A37BE0" w:rsidRPr="008440D9" w:rsidRDefault="00A37BE0" w:rsidP="009E169C">
            <w:pPr>
              <w:pStyle w:val="Default"/>
              <w:rPr>
                <w:sz w:val="20"/>
                <w:szCs w:val="20"/>
              </w:rPr>
            </w:pPr>
            <w:r w:rsidRPr="008440D9">
              <w:rPr>
                <w:sz w:val="20"/>
                <w:szCs w:val="20"/>
              </w:rPr>
              <w:t xml:space="preserve">  Post CLA – </w:t>
            </w:r>
            <w:r>
              <w:rPr>
                <w:sz w:val="20"/>
                <w:szCs w:val="20"/>
              </w:rPr>
              <w:t>3</w:t>
            </w:r>
            <w:r w:rsidRPr="008440D9">
              <w:rPr>
                <w:sz w:val="20"/>
                <w:szCs w:val="20"/>
              </w:rPr>
              <w:t xml:space="preserve"> children @ £1,900 = £</w:t>
            </w:r>
            <w:r>
              <w:rPr>
                <w:sz w:val="20"/>
                <w:szCs w:val="20"/>
              </w:rPr>
              <w:t>5,7</w:t>
            </w:r>
            <w:r w:rsidRPr="008440D9">
              <w:rPr>
                <w:sz w:val="20"/>
                <w:szCs w:val="20"/>
              </w:rPr>
              <w:t xml:space="preserve">00 </w:t>
            </w:r>
          </w:p>
          <w:p w:rsidR="00A37BE0" w:rsidRPr="008440D9" w:rsidRDefault="00A37BE0" w:rsidP="009E169C">
            <w:pPr>
              <w:pStyle w:val="Default"/>
              <w:rPr>
                <w:sz w:val="20"/>
                <w:szCs w:val="20"/>
              </w:rPr>
            </w:pPr>
            <w:r w:rsidRPr="008440D9">
              <w:rPr>
                <w:sz w:val="20"/>
                <w:szCs w:val="20"/>
              </w:rPr>
              <w:t>· Forces – 0 children @£300 = £0</w:t>
            </w:r>
          </w:p>
          <w:p w:rsidR="00A37BE0" w:rsidRPr="008440D9" w:rsidRDefault="00A37BE0" w:rsidP="009E169C">
            <w:pPr>
              <w:pStyle w:val="Default"/>
              <w:rPr>
                <w:sz w:val="20"/>
                <w:szCs w:val="20"/>
              </w:rPr>
            </w:pPr>
            <w:r w:rsidRPr="008440D9">
              <w:rPr>
                <w:sz w:val="20"/>
                <w:szCs w:val="20"/>
              </w:rPr>
              <w:t>5/12 of this = £</w:t>
            </w:r>
            <w:r>
              <w:rPr>
                <w:sz w:val="20"/>
                <w:szCs w:val="20"/>
              </w:rPr>
              <w:t>22,725</w:t>
            </w:r>
          </w:p>
        </w:tc>
      </w:tr>
    </w:tbl>
    <w:p w:rsidR="00A37BE0" w:rsidRPr="008440D9" w:rsidRDefault="00A37BE0" w:rsidP="00A37BE0">
      <w:pPr>
        <w:pStyle w:val="Default"/>
      </w:pPr>
    </w:p>
    <w:p w:rsidR="00A37BE0" w:rsidRPr="008440D9" w:rsidRDefault="00A37BE0" w:rsidP="00A37BE0">
      <w:pPr>
        <w:pStyle w:val="Default"/>
        <w:rPr>
          <w:sz w:val="22"/>
          <w:szCs w:val="22"/>
        </w:rPr>
      </w:pPr>
      <w:r w:rsidRPr="008440D9">
        <w:rPr>
          <w:sz w:val="22"/>
          <w:szCs w:val="22"/>
        </w:rPr>
        <w:t>In Red Row First School the sum for the 201</w:t>
      </w:r>
      <w:r>
        <w:rPr>
          <w:sz w:val="22"/>
          <w:szCs w:val="22"/>
        </w:rPr>
        <w:t>8</w:t>
      </w:r>
      <w:r w:rsidRPr="008440D9">
        <w:rPr>
          <w:sz w:val="22"/>
          <w:szCs w:val="22"/>
        </w:rPr>
        <w:t>-1</w:t>
      </w:r>
      <w:r>
        <w:rPr>
          <w:sz w:val="22"/>
          <w:szCs w:val="22"/>
        </w:rPr>
        <w:t>9</w:t>
      </w:r>
      <w:r w:rsidRPr="008440D9">
        <w:rPr>
          <w:sz w:val="22"/>
          <w:szCs w:val="22"/>
        </w:rPr>
        <w:t xml:space="preserve"> academic </w:t>
      </w:r>
      <w:proofErr w:type="gramStart"/>
      <w:r w:rsidRPr="008440D9">
        <w:rPr>
          <w:sz w:val="22"/>
          <w:szCs w:val="22"/>
        </w:rPr>
        <w:t>year</w:t>
      </w:r>
      <w:proofErr w:type="gramEnd"/>
      <w:r w:rsidRPr="008440D9">
        <w:rPr>
          <w:sz w:val="22"/>
          <w:szCs w:val="22"/>
        </w:rPr>
        <w:t xml:space="preserve"> came to £</w:t>
      </w:r>
      <w:r>
        <w:rPr>
          <w:sz w:val="22"/>
          <w:szCs w:val="22"/>
        </w:rPr>
        <w:t>54,540</w:t>
      </w:r>
      <w:r w:rsidRPr="008440D9">
        <w:rPr>
          <w:sz w:val="22"/>
          <w:szCs w:val="22"/>
        </w:rPr>
        <w:t xml:space="preserve">. </w:t>
      </w:r>
    </w:p>
    <w:p w:rsidR="00A37BE0" w:rsidRPr="008440D9" w:rsidRDefault="00A37BE0" w:rsidP="00A37BE0">
      <w:pPr>
        <w:pStyle w:val="Default"/>
        <w:rPr>
          <w:sz w:val="22"/>
          <w:szCs w:val="22"/>
        </w:rPr>
      </w:pPr>
      <w:r w:rsidRPr="008440D9">
        <w:rPr>
          <w:sz w:val="22"/>
          <w:szCs w:val="22"/>
        </w:rPr>
        <w:t xml:space="preserve">Schools are free to spend the Pupil Premium as they see fit, but are accountable for the success of their chosen expenditure. </w:t>
      </w:r>
    </w:p>
    <w:p w:rsidR="00A37BE0" w:rsidRPr="008440D9" w:rsidRDefault="00A37BE0" w:rsidP="00A37BE0">
      <w:pPr>
        <w:pStyle w:val="Default"/>
        <w:rPr>
          <w:sz w:val="22"/>
          <w:szCs w:val="22"/>
        </w:rPr>
      </w:pPr>
      <w:r w:rsidRPr="008440D9">
        <w:rPr>
          <w:sz w:val="22"/>
          <w:szCs w:val="22"/>
        </w:rPr>
        <w:t xml:space="preserve">In Red Row First School this year, some of the pupil premium funding was spent on </w:t>
      </w:r>
    </w:p>
    <w:p w:rsidR="00A37BE0" w:rsidRPr="008440D9" w:rsidRDefault="00A37BE0" w:rsidP="00A37BE0">
      <w:pPr>
        <w:pStyle w:val="Default"/>
        <w:rPr>
          <w:sz w:val="22"/>
          <w:szCs w:val="22"/>
        </w:rPr>
      </w:pPr>
      <w:r w:rsidRPr="008440D9">
        <w:rPr>
          <w:sz w:val="22"/>
          <w:szCs w:val="22"/>
        </w:rPr>
        <w:t xml:space="preserve">An additional teacher for separate KS2 classes </w:t>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t>£</w:t>
      </w:r>
      <w:r>
        <w:rPr>
          <w:sz w:val="22"/>
          <w:szCs w:val="22"/>
        </w:rPr>
        <w:t>37,544</w:t>
      </w:r>
    </w:p>
    <w:p w:rsidR="00A37BE0" w:rsidRDefault="00A37BE0" w:rsidP="00A37BE0">
      <w:pPr>
        <w:pStyle w:val="Default"/>
        <w:rPr>
          <w:color w:val="auto"/>
          <w:sz w:val="22"/>
          <w:szCs w:val="22"/>
        </w:rPr>
      </w:pPr>
      <w:r w:rsidRPr="008440D9">
        <w:rPr>
          <w:sz w:val="22"/>
          <w:szCs w:val="22"/>
        </w:rPr>
        <w:t xml:space="preserve">BRP and other interventions carried out by TAs </w:t>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t>£</w:t>
      </w:r>
      <w:r w:rsidRPr="008440D9">
        <w:rPr>
          <w:color w:val="auto"/>
          <w:sz w:val="22"/>
          <w:szCs w:val="22"/>
        </w:rPr>
        <w:t xml:space="preserve">8,900 </w:t>
      </w:r>
    </w:p>
    <w:p w:rsidR="00A37BE0" w:rsidRPr="008440D9" w:rsidRDefault="00A37BE0" w:rsidP="00A37BE0">
      <w:pPr>
        <w:pStyle w:val="Default"/>
        <w:rPr>
          <w:color w:val="auto"/>
          <w:sz w:val="22"/>
          <w:szCs w:val="22"/>
        </w:rPr>
      </w:pPr>
      <w:proofErr w:type="spellStart"/>
      <w:r>
        <w:rPr>
          <w:color w:val="auto"/>
          <w:sz w:val="22"/>
          <w:szCs w:val="22"/>
        </w:rPr>
        <w:t>Lexia</w:t>
      </w:r>
      <w:proofErr w:type="spellEnd"/>
      <w:r>
        <w:rPr>
          <w:color w:val="auto"/>
          <w:sz w:val="22"/>
          <w:szCs w:val="22"/>
        </w:rPr>
        <w:t xml:space="preserve"> Reading Program</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£2,864</w:t>
      </w:r>
    </w:p>
    <w:p w:rsidR="00A37BE0" w:rsidRPr="008440D9" w:rsidRDefault="00A37BE0" w:rsidP="00A37BE0">
      <w:pPr>
        <w:pStyle w:val="Default"/>
        <w:rPr>
          <w:sz w:val="22"/>
          <w:szCs w:val="22"/>
        </w:rPr>
      </w:pPr>
      <w:r w:rsidRPr="008440D9">
        <w:rPr>
          <w:sz w:val="22"/>
          <w:szCs w:val="22"/>
        </w:rPr>
        <w:t>Ongoing fee for the THRIVE approach licence</w:t>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t>£350</w:t>
      </w:r>
    </w:p>
    <w:p w:rsidR="00A37BE0" w:rsidRPr="008440D9" w:rsidRDefault="00A37BE0" w:rsidP="00A37BE0">
      <w:pPr>
        <w:pStyle w:val="Default"/>
        <w:rPr>
          <w:sz w:val="22"/>
          <w:szCs w:val="22"/>
        </w:rPr>
      </w:pPr>
      <w:r w:rsidRPr="008440D9">
        <w:rPr>
          <w:sz w:val="22"/>
          <w:szCs w:val="22"/>
        </w:rPr>
        <w:t>A HLTA allocated full time to THRIVE</w:t>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t>£</w:t>
      </w:r>
      <w:r>
        <w:rPr>
          <w:sz w:val="22"/>
          <w:szCs w:val="22"/>
        </w:rPr>
        <w:t>23,339</w:t>
      </w:r>
    </w:p>
    <w:p w:rsidR="00A37BE0" w:rsidRPr="008440D9" w:rsidRDefault="00A37BE0" w:rsidP="00A37BE0">
      <w:pPr>
        <w:pStyle w:val="Default"/>
        <w:rPr>
          <w:sz w:val="22"/>
          <w:szCs w:val="22"/>
        </w:rPr>
      </w:pPr>
      <w:r w:rsidRPr="008440D9">
        <w:rPr>
          <w:sz w:val="22"/>
          <w:szCs w:val="22"/>
        </w:rPr>
        <w:t xml:space="preserve">ELSA group and individual interventions </w:t>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t xml:space="preserve">£4,830 </w:t>
      </w:r>
    </w:p>
    <w:p w:rsidR="00A37BE0" w:rsidRPr="008440D9" w:rsidRDefault="00A37BE0" w:rsidP="00A37BE0">
      <w:pPr>
        <w:pStyle w:val="Default"/>
        <w:rPr>
          <w:sz w:val="22"/>
          <w:szCs w:val="22"/>
        </w:rPr>
      </w:pPr>
      <w:r w:rsidRPr="008440D9">
        <w:rPr>
          <w:sz w:val="22"/>
          <w:szCs w:val="22"/>
        </w:rPr>
        <w:t xml:space="preserve">ELSA worker during the dinner break </w:t>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t xml:space="preserve">£2,830 </w:t>
      </w:r>
    </w:p>
    <w:p w:rsidR="00A37BE0" w:rsidRPr="008440D9" w:rsidRDefault="00A37BE0" w:rsidP="00A37BE0">
      <w:pPr>
        <w:pStyle w:val="Default"/>
        <w:rPr>
          <w:color w:val="auto"/>
          <w:sz w:val="22"/>
          <w:szCs w:val="22"/>
        </w:rPr>
      </w:pPr>
      <w:r w:rsidRPr="008440D9">
        <w:rPr>
          <w:sz w:val="22"/>
          <w:szCs w:val="22"/>
        </w:rPr>
        <w:t xml:space="preserve">Subsidising school trips </w:t>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r>
      <w:r w:rsidRPr="008440D9">
        <w:rPr>
          <w:sz w:val="22"/>
          <w:szCs w:val="22"/>
        </w:rPr>
        <w:tab/>
        <w:t xml:space="preserve">£ </w:t>
      </w:r>
      <w:r w:rsidRPr="008440D9">
        <w:rPr>
          <w:color w:val="auto"/>
          <w:sz w:val="22"/>
          <w:szCs w:val="22"/>
        </w:rPr>
        <w:t xml:space="preserve">500 </w:t>
      </w:r>
    </w:p>
    <w:p w:rsidR="00A37BE0" w:rsidRPr="008440D9" w:rsidRDefault="00A37BE0" w:rsidP="00A37BE0">
      <w:pPr>
        <w:pStyle w:val="Default"/>
        <w:rPr>
          <w:color w:val="auto"/>
          <w:sz w:val="22"/>
          <w:szCs w:val="22"/>
        </w:rPr>
      </w:pPr>
      <w:r w:rsidRPr="008440D9">
        <w:rPr>
          <w:color w:val="auto"/>
          <w:sz w:val="22"/>
          <w:szCs w:val="22"/>
        </w:rPr>
        <w:t xml:space="preserve">Subsidising school swimming </w:t>
      </w:r>
      <w:r w:rsidRPr="008440D9">
        <w:rPr>
          <w:color w:val="auto"/>
          <w:sz w:val="22"/>
          <w:szCs w:val="22"/>
        </w:rPr>
        <w:tab/>
      </w:r>
      <w:r w:rsidRPr="008440D9">
        <w:rPr>
          <w:color w:val="auto"/>
          <w:sz w:val="22"/>
          <w:szCs w:val="22"/>
        </w:rPr>
        <w:tab/>
      </w:r>
      <w:r w:rsidRPr="008440D9">
        <w:rPr>
          <w:color w:val="auto"/>
          <w:sz w:val="22"/>
          <w:szCs w:val="22"/>
        </w:rPr>
        <w:tab/>
      </w:r>
      <w:r w:rsidRPr="008440D9">
        <w:rPr>
          <w:color w:val="auto"/>
          <w:sz w:val="22"/>
          <w:szCs w:val="22"/>
        </w:rPr>
        <w:tab/>
      </w:r>
      <w:r w:rsidRPr="008440D9">
        <w:rPr>
          <w:color w:val="auto"/>
          <w:sz w:val="22"/>
          <w:szCs w:val="22"/>
        </w:rPr>
        <w:tab/>
      </w:r>
      <w:r w:rsidRPr="008440D9">
        <w:rPr>
          <w:color w:val="auto"/>
          <w:sz w:val="22"/>
          <w:szCs w:val="22"/>
        </w:rPr>
        <w:tab/>
      </w:r>
      <w:r w:rsidRPr="008440D9">
        <w:rPr>
          <w:color w:val="auto"/>
          <w:sz w:val="22"/>
          <w:szCs w:val="22"/>
        </w:rPr>
        <w:tab/>
        <w:t xml:space="preserve">£ 1,300 </w:t>
      </w:r>
    </w:p>
    <w:p w:rsidR="00A37BE0" w:rsidRPr="00692B05" w:rsidRDefault="00A37BE0" w:rsidP="00A37BE0">
      <w:pPr>
        <w:pStyle w:val="Default"/>
        <w:ind w:left="6480" w:firstLine="720"/>
        <w:rPr>
          <w:bCs/>
          <w:sz w:val="22"/>
          <w:szCs w:val="22"/>
        </w:rPr>
      </w:pPr>
      <w:r w:rsidRPr="008440D9">
        <w:rPr>
          <w:bCs/>
          <w:sz w:val="22"/>
          <w:szCs w:val="22"/>
        </w:rPr>
        <w:t>Total £ £79,60</w:t>
      </w:r>
      <w:r>
        <w:rPr>
          <w:bCs/>
          <w:sz w:val="22"/>
          <w:szCs w:val="22"/>
        </w:rPr>
        <w:t>3</w:t>
      </w:r>
    </w:p>
    <w:p w:rsidR="00BA5221" w:rsidRPr="00692B05" w:rsidRDefault="00BA5221" w:rsidP="00BA5221">
      <w:pPr>
        <w:pStyle w:val="Default"/>
        <w:jc w:val="both"/>
        <w:rPr>
          <w:sz w:val="22"/>
          <w:szCs w:val="22"/>
        </w:rPr>
      </w:pPr>
      <w:r w:rsidRPr="00692B05">
        <w:rPr>
          <w:sz w:val="22"/>
          <w:szCs w:val="22"/>
        </w:rPr>
        <w:t xml:space="preserve">Schools are free to spend the Pupil Premium as they see fit, but are accountable for the success of their chosen expenditure. </w:t>
      </w:r>
    </w:p>
    <w:p w:rsidR="00BA5221" w:rsidRPr="00692B05" w:rsidRDefault="00BA5221" w:rsidP="00BA5221">
      <w:pPr>
        <w:pStyle w:val="Default"/>
        <w:jc w:val="both"/>
        <w:rPr>
          <w:sz w:val="22"/>
          <w:szCs w:val="22"/>
        </w:rPr>
      </w:pPr>
      <w:r w:rsidRPr="00692B05">
        <w:rPr>
          <w:sz w:val="22"/>
          <w:szCs w:val="22"/>
        </w:rPr>
        <w:t>• We ensure that teaching and learning opportunities meet the needs of all of the pupils;</w:t>
      </w:r>
    </w:p>
    <w:p w:rsidR="00BA5221" w:rsidRPr="00692B05" w:rsidRDefault="00BA5221" w:rsidP="00BA5221">
      <w:pPr>
        <w:pStyle w:val="Default"/>
        <w:jc w:val="both"/>
        <w:rPr>
          <w:sz w:val="22"/>
          <w:szCs w:val="22"/>
        </w:rPr>
      </w:pPr>
      <w:r w:rsidRPr="00692B05">
        <w:rPr>
          <w:sz w:val="22"/>
          <w:szCs w:val="22"/>
        </w:rPr>
        <w:t xml:space="preserve">• We ensure that appropriate provision in made for pupils who belong to vulnerable </w:t>
      </w:r>
      <w:proofErr w:type="gramStart"/>
      <w:r w:rsidRPr="00692B05">
        <w:rPr>
          <w:sz w:val="22"/>
          <w:szCs w:val="22"/>
        </w:rPr>
        <w:t>groups,</w:t>
      </w:r>
      <w:proofErr w:type="gramEnd"/>
      <w:r w:rsidRPr="00692B05">
        <w:rPr>
          <w:sz w:val="22"/>
          <w:szCs w:val="22"/>
        </w:rPr>
        <w:t xml:space="preserve"> this includes ensuring that the needs of disadvantaged pupils are appropriately addressed and assessed;</w:t>
      </w:r>
    </w:p>
    <w:p w:rsidR="00BA5221" w:rsidRPr="00BA5221" w:rsidRDefault="00BA5221" w:rsidP="00BA5221">
      <w:pPr>
        <w:pStyle w:val="Default"/>
        <w:jc w:val="both"/>
        <w:rPr>
          <w:sz w:val="22"/>
          <w:szCs w:val="22"/>
        </w:rPr>
      </w:pPr>
      <w:r w:rsidRPr="00BA5221">
        <w:rPr>
          <w:sz w:val="22"/>
          <w:szCs w:val="22"/>
        </w:rPr>
        <w:t>• We recognise that not all pupils who receive the Pupil Premium Grant will experience disadvantage at school;</w:t>
      </w:r>
    </w:p>
    <w:p w:rsidR="00BA5221" w:rsidRPr="00BA5221" w:rsidRDefault="00BA5221" w:rsidP="00BA5221">
      <w:pPr>
        <w:pStyle w:val="Default"/>
        <w:jc w:val="both"/>
        <w:rPr>
          <w:sz w:val="22"/>
          <w:szCs w:val="22"/>
        </w:rPr>
      </w:pPr>
      <w:r w:rsidRPr="00BA5221">
        <w:rPr>
          <w:sz w:val="22"/>
          <w:szCs w:val="22"/>
        </w:rPr>
        <w:t>• We also recognise that there are disadvantaged pupils who do not qualify for Free School Meals, the Forces Premium or Pupil Premium Plus. We may allocate resources to support any group or groups of children we have identified as being disadvantaged or vulnerable;</w:t>
      </w:r>
    </w:p>
    <w:p w:rsidR="00BA5221" w:rsidRDefault="00BA5221" w:rsidP="00BA5221">
      <w:pPr>
        <w:pStyle w:val="Default"/>
        <w:jc w:val="both"/>
        <w:rPr>
          <w:sz w:val="22"/>
          <w:szCs w:val="22"/>
        </w:rPr>
      </w:pPr>
      <w:r w:rsidRPr="00BA5221">
        <w:rPr>
          <w:sz w:val="22"/>
          <w:szCs w:val="22"/>
        </w:rPr>
        <w:lastRenderedPageBreak/>
        <w:t>• Pupil Premium funding will follow identified needs. This may mean that not every child who receives Free School Meals will be in receipt of Pupil Premium funded interventions all of the time.</w:t>
      </w:r>
      <w:r>
        <w:rPr>
          <w:sz w:val="22"/>
          <w:szCs w:val="22"/>
        </w:rPr>
        <w:t xml:space="preserve"> </w:t>
      </w:r>
    </w:p>
    <w:p w:rsidR="00B279D8" w:rsidRDefault="00BA5221" w:rsidP="00BA5221">
      <w:pPr>
        <w:pStyle w:val="Default"/>
        <w:jc w:val="both"/>
        <w:rPr>
          <w:sz w:val="22"/>
          <w:szCs w:val="22"/>
        </w:rPr>
      </w:pPr>
      <w:r w:rsidRPr="00BA5221">
        <w:rPr>
          <w:sz w:val="22"/>
          <w:szCs w:val="22"/>
        </w:rPr>
        <w:t>Below is a summary of school results which demonstrate some of the impact this money has had.</w:t>
      </w:r>
    </w:p>
    <w:p w:rsidR="00B279D8" w:rsidRDefault="00B279D8" w:rsidP="00BA5221">
      <w:pPr>
        <w:pStyle w:val="Default"/>
        <w:jc w:val="both"/>
        <w:rPr>
          <w:sz w:val="22"/>
          <w:szCs w:val="22"/>
        </w:rPr>
      </w:pPr>
    </w:p>
    <w:p w:rsidR="00832D35" w:rsidRPr="00294D54" w:rsidRDefault="00832D35" w:rsidP="00832D35">
      <w:pPr>
        <w:autoSpaceDE w:val="0"/>
        <w:autoSpaceDN w:val="0"/>
        <w:adjustRightInd w:val="0"/>
        <w:spacing w:after="0" w:line="240" w:lineRule="auto"/>
        <w:rPr>
          <w:rFonts w:ascii="Comic Sans MS" w:hAnsi="Comic Sans MS" w:cs="Calibri"/>
          <w:b/>
          <w:bCs/>
          <w:color w:val="000000"/>
          <w:sz w:val="23"/>
          <w:szCs w:val="23"/>
          <w:u w:val="single"/>
        </w:rPr>
      </w:pPr>
      <w:r w:rsidRPr="00294D54">
        <w:rPr>
          <w:rFonts w:ascii="Comic Sans MS" w:hAnsi="Comic Sans MS" w:cs="Calibri"/>
          <w:b/>
          <w:bCs/>
          <w:color w:val="000000"/>
          <w:sz w:val="23"/>
          <w:szCs w:val="23"/>
          <w:u w:val="single"/>
        </w:rPr>
        <w:t xml:space="preserve">THE IMPACT OF HOW WE SPEND OUR PUPIL PREMIUM FUNDING (DATA) </w:t>
      </w:r>
    </w:p>
    <w:p w:rsidR="00832D35" w:rsidRPr="00294D54" w:rsidRDefault="00832D35" w:rsidP="00832D35">
      <w:pPr>
        <w:autoSpaceDE w:val="0"/>
        <w:autoSpaceDN w:val="0"/>
        <w:adjustRightInd w:val="0"/>
        <w:spacing w:after="0" w:line="240" w:lineRule="auto"/>
        <w:rPr>
          <w:rFonts w:ascii="Comic Sans MS" w:hAnsi="Comic Sans MS" w:cs="Calibri"/>
          <w:color w:val="000000"/>
          <w:sz w:val="23"/>
          <w:szCs w:val="23"/>
        </w:rPr>
      </w:pPr>
    </w:p>
    <w:p w:rsidR="00832D35" w:rsidRPr="001078BD" w:rsidRDefault="00892E26" w:rsidP="00832D35">
      <w:pPr>
        <w:autoSpaceDE w:val="0"/>
        <w:autoSpaceDN w:val="0"/>
        <w:adjustRightInd w:val="0"/>
        <w:spacing w:after="0" w:line="240" w:lineRule="auto"/>
        <w:rPr>
          <w:rFonts w:ascii="Comic Sans MS" w:hAnsi="Comic Sans MS" w:cs="Calibri"/>
          <w:color w:val="000000"/>
          <w:sz w:val="23"/>
          <w:szCs w:val="23"/>
        </w:rPr>
      </w:pPr>
      <w:r>
        <w:rPr>
          <w:rFonts w:ascii="Comic Sans MS" w:hAnsi="Comic Sans MS" w:cs="Calibri"/>
          <w:color w:val="000000"/>
          <w:sz w:val="23"/>
          <w:szCs w:val="23"/>
        </w:rPr>
        <w:t>In 201</w:t>
      </w:r>
      <w:r w:rsidR="00A37BE0">
        <w:rPr>
          <w:rFonts w:ascii="Comic Sans MS" w:hAnsi="Comic Sans MS" w:cs="Calibri"/>
          <w:color w:val="000000"/>
          <w:sz w:val="23"/>
          <w:szCs w:val="23"/>
        </w:rPr>
        <w:t>8</w:t>
      </w:r>
      <w:r w:rsidR="00832D35" w:rsidRPr="00294D54">
        <w:rPr>
          <w:rFonts w:ascii="Comic Sans MS" w:hAnsi="Comic Sans MS" w:cs="Calibri"/>
          <w:color w:val="000000"/>
          <w:sz w:val="23"/>
          <w:szCs w:val="23"/>
        </w:rPr>
        <w:t>/1</w:t>
      </w:r>
      <w:r w:rsidR="00A37BE0">
        <w:rPr>
          <w:rFonts w:ascii="Comic Sans MS" w:hAnsi="Comic Sans MS" w:cs="Calibri"/>
          <w:color w:val="000000"/>
          <w:sz w:val="23"/>
          <w:szCs w:val="23"/>
        </w:rPr>
        <w:t>9</w:t>
      </w:r>
      <w:r w:rsidR="00832D35" w:rsidRPr="00294D54">
        <w:rPr>
          <w:rFonts w:ascii="Comic Sans MS" w:hAnsi="Comic Sans MS" w:cs="Calibri"/>
          <w:color w:val="000000"/>
          <w:sz w:val="23"/>
          <w:szCs w:val="23"/>
        </w:rPr>
        <w:t xml:space="preserve"> </w:t>
      </w:r>
      <w:r w:rsidR="00A37BE0">
        <w:rPr>
          <w:rFonts w:ascii="Comic Sans MS" w:hAnsi="Comic Sans MS" w:cs="Calibri"/>
          <w:b/>
          <w:color w:val="000000"/>
          <w:sz w:val="23"/>
          <w:szCs w:val="23"/>
        </w:rPr>
        <w:t>43</w:t>
      </w:r>
      <w:r w:rsidR="00832D35" w:rsidRPr="00294D54">
        <w:rPr>
          <w:rFonts w:ascii="Comic Sans MS" w:hAnsi="Comic Sans MS" w:cs="Calibri"/>
          <w:b/>
          <w:bCs/>
          <w:color w:val="000000"/>
          <w:sz w:val="23"/>
          <w:szCs w:val="23"/>
        </w:rPr>
        <w:t>%</w:t>
      </w:r>
      <w:r w:rsidR="001078BD">
        <w:rPr>
          <w:rFonts w:ascii="Comic Sans MS" w:hAnsi="Comic Sans MS" w:cs="Calibri"/>
          <w:b/>
          <w:bCs/>
          <w:color w:val="000000"/>
          <w:sz w:val="23"/>
          <w:szCs w:val="23"/>
        </w:rPr>
        <w:t xml:space="preserve"> (3 out of 7)</w:t>
      </w:r>
      <w:r w:rsidR="00832D35" w:rsidRPr="00294D54">
        <w:rPr>
          <w:rFonts w:ascii="Comic Sans MS" w:hAnsi="Comic Sans MS" w:cs="Calibri"/>
          <w:b/>
          <w:bCs/>
          <w:color w:val="000000"/>
          <w:sz w:val="23"/>
          <w:szCs w:val="23"/>
        </w:rPr>
        <w:t xml:space="preserve"> of our Early Years pupils </w:t>
      </w:r>
      <w:r w:rsidR="00832D35" w:rsidRPr="00294D54">
        <w:rPr>
          <w:rFonts w:ascii="Comic Sans MS" w:hAnsi="Comic Sans MS" w:cs="Calibri"/>
          <w:color w:val="000000"/>
          <w:sz w:val="23"/>
          <w:szCs w:val="23"/>
        </w:rPr>
        <w:t xml:space="preserve">in receipt of Pupil Premium achieved a Good Level of Development (GLD) </w:t>
      </w:r>
      <w:r w:rsidR="00832D35" w:rsidRPr="00294D54">
        <w:rPr>
          <w:rFonts w:ascii="Comic Sans MS" w:hAnsi="Comic Sans MS" w:cs="Calibri"/>
          <w:b/>
          <w:bCs/>
          <w:color w:val="000000"/>
          <w:sz w:val="23"/>
          <w:szCs w:val="23"/>
        </w:rPr>
        <w:t xml:space="preserve">compared to </w:t>
      </w:r>
      <w:r w:rsidR="00090AAC">
        <w:rPr>
          <w:rFonts w:ascii="Comic Sans MS" w:hAnsi="Comic Sans MS" w:cs="Calibri"/>
          <w:b/>
          <w:bCs/>
          <w:color w:val="000000"/>
          <w:sz w:val="23"/>
          <w:szCs w:val="23"/>
        </w:rPr>
        <w:t>71.</w:t>
      </w:r>
      <w:r w:rsidR="001078BD">
        <w:rPr>
          <w:rFonts w:ascii="Comic Sans MS" w:hAnsi="Comic Sans MS" w:cs="Calibri"/>
          <w:b/>
          <w:bCs/>
          <w:color w:val="000000"/>
          <w:sz w:val="23"/>
          <w:szCs w:val="23"/>
        </w:rPr>
        <w:t>8</w:t>
      </w:r>
      <w:r>
        <w:rPr>
          <w:rFonts w:ascii="Comic Sans MS" w:hAnsi="Comic Sans MS" w:cs="Calibri"/>
          <w:b/>
          <w:bCs/>
          <w:color w:val="000000"/>
          <w:sz w:val="23"/>
          <w:szCs w:val="23"/>
        </w:rPr>
        <w:t xml:space="preserve">% </w:t>
      </w:r>
      <w:r w:rsidR="00090AAC">
        <w:rPr>
          <w:rFonts w:ascii="Comic Sans MS" w:hAnsi="Comic Sans MS" w:cs="Calibri"/>
          <w:b/>
          <w:bCs/>
          <w:color w:val="000000"/>
          <w:sz w:val="23"/>
          <w:szCs w:val="23"/>
        </w:rPr>
        <w:t>of all children nationally</w:t>
      </w:r>
      <w:r w:rsidR="00201D59">
        <w:rPr>
          <w:rFonts w:ascii="Comic Sans MS" w:hAnsi="Comic Sans MS" w:cs="Calibri"/>
          <w:bCs/>
          <w:color w:val="000000"/>
          <w:sz w:val="23"/>
          <w:szCs w:val="23"/>
        </w:rPr>
        <w:t>.</w:t>
      </w:r>
      <w:r w:rsidR="00832D35" w:rsidRPr="00294D54">
        <w:rPr>
          <w:rFonts w:ascii="Comic Sans MS" w:hAnsi="Comic Sans MS" w:cs="Calibri"/>
          <w:b/>
          <w:bCs/>
          <w:color w:val="000000"/>
          <w:sz w:val="23"/>
          <w:szCs w:val="23"/>
        </w:rPr>
        <w:t xml:space="preserve"> </w:t>
      </w:r>
      <w:r w:rsidR="001078BD">
        <w:rPr>
          <w:rFonts w:ascii="Comic Sans MS" w:hAnsi="Comic Sans MS" w:cs="Calibri"/>
          <w:bCs/>
          <w:color w:val="000000"/>
          <w:sz w:val="23"/>
          <w:szCs w:val="23"/>
        </w:rPr>
        <w:t>Three out of the four children who did not achieve GLD are on the SEN register.</w:t>
      </w:r>
    </w:p>
    <w:p w:rsidR="00832D35" w:rsidRDefault="00832D35" w:rsidP="00832D35">
      <w:pPr>
        <w:pStyle w:val="Default"/>
        <w:jc w:val="both"/>
        <w:rPr>
          <w:rFonts w:cs="Calibri"/>
          <w:sz w:val="23"/>
          <w:szCs w:val="23"/>
        </w:rPr>
      </w:pPr>
    </w:p>
    <w:p w:rsidR="00832D35" w:rsidRDefault="00832D35" w:rsidP="00832D35">
      <w:pPr>
        <w:pStyle w:val="Default"/>
        <w:jc w:val="both"/>
        <w:rPr>
          <w:sz w:val="22"/>
          <w:szCs w:val="22"/>
        </w:rPr>
      </w:pPr>
    </w:p>
    <w:p w:rsidR="00201D59" w:rsidRDefault="00832D35" w:rsidP="00832D35">
      <w:pPr>
        <w:pStyle w:val="Default"/>
        <w:jc w:val="both"/>
        <w:rPr>
          <w:b/>
          <w:sz w:val="22"/>
          <w:szCs w:val="22"/>
        </w:rPr>
      </w:pPr>
      <w:r>
        <w:rPr>
          <w:b/>
          <w:sz w:val="22"/>
          <w:szCs w:val="22"/>
        </w:rPr>
        <w:t>Year 2</w:t>
      </w:r>
      <w:r w:rsidRPr="00F764FE">
        <w:rPr>
          <w:b/>
          <w:sz w:val="22"/>
          <w:szCs w:val="22"/>
        </w:rPr>
        <w:t xml:space="preserve"> Results 201</w:t>
      </w:r>
      <w:r w:rsidR="001078BD">
        <w:rPr>
          <w:b/>
          <w:sz w:val="22"/>
          <w:szCs w:val="22"/>
        </w:rPr>
        <w:t>9</w:t>
      </w:r>
    </w:p>
    <w:p w:rsidR="00832D35" w:rsidRPr="00992019" w:rsidRDefault="001078BD" w:rsidP="00832D35">
      <w:pPr>
        <w:pStyle w:val="Default"/>
        <w:jc w:val="both"/>
        <w:rPr>
          <w:color w:val="auto"/>
          <w:sz w:val="22"/>
          <w:szCs w:val="22"/>
        </w:rPr>
      </w:pPr>
      <w:r>
        <w:rPr>
          <w:rFonts w:cs="Calibri"/>
          <w:sz w:val="23"/>
          <w:szCs w:val="23"/>
        </w:rPr>
        <w:t>In 2018</w:t>
      </w:r>
      <w:r w:rsidRPr="00294D54">
        <w:rPr>
          <w:rFonts w:cs="Calibri"/>
          <w:sz w:val="23"/>
          <w:szCs w:val="23"/>
        </w:rPr>
        <w:t>/1</w:t>
      </w:r>
      <w:r>
        <w:rPr>
          <w:rFonts w:cs="Calibri"/>
          <w:sz w:val="23"/>
          <w:szCs w:val="23"/>
        </w:rPr>
        <w:t>9</w:t>
      </w:r>
      <w:r w:rsidRPr="00294D54">
        <w:rPr>
          <w:rFonts w:cs="Calibri"/>
          <w:sz w:val="23"/>
          <w:szCs w:val="23"/>
        </w:rPr>
        <w:t xml:space="preserve"> </w:t>
      </w:r>
      <w:r w:rsidR="005B0B3C">
        <w:rPr>
          <w:rFonts w:cs="Calibri"/>
          <w:b/>
          <w:sz w:val="23"/>
          <w:szCs w:val="23"/>
        </w:rPr>
        <w:t>58</w:t>
      </w:r>
      <w:r w:rsidRPr="00294D54">
        <w:rPr>
          <w:rFonts w:cs="Calibri"/>
          <w:b/>
          <w:bCs/>
          <w:sz w:val="23"/>
          <w:szCs w:val="23"/>
        </w:rPr>
        <w:t>%</w:t>
      </w:r>
      <w:r w:rsidR="005B146D">
        <w:rPr>
          <w:rFonts w:cs="Calibri"/>
          <w:b/>
          <w:bCs/>
          <w:sz w:val="23"/>
          <w:szCs w:val="23"/>
        </w:rPr>
        <w:t xml:space="preserve">, </w:t>
      </w:r>
      <w:r w:rsidR="005B0B3C">
        <w:rPr>
          <w:rFonts w:cs="Calibri"/>
          <w:b/>
          <w:bCs/>
          <w:sz w:val="23"/>
          <w:szCs w:val="23"/>
        </w:rPr>
        <w:t xml:space="preserve">50% and 58% </w:t>
      </w:r>
      <w:r w:rsidR="005B0B3C">
        <w:rPr>
          <w:rFonts w:cs="Calibri"/>
          <w:bCs/>
          <w:sz w:val="23"/>
          <w:szCs w:val="23"/>
        </w:rPr>
        <w:t>of pupils</w:t>
      </w:r>
      <w:r>
        <w:rPr>
          <w:rFonts w:cs="Calibri"/>
          <w:b/>
          <w:bCs/>
          <w:sz w:val="23"/>
          <w:szCs w:val="23"/>
        </w:rPr>
        <w:t xml:space="preserve"> </w:t>
      </w:r>
      <w:r w:rsidRPr="00294D54">
        <w:rPr>
          <w:rFonts w:cs="Calibri"/>
          <w:sz w:val="23"/>
          <w:szCs w:val="23"/>
        </w:rPr>
        <w:t xml:space="preserve">in receipt of Pupil Premium achieved </w:t>
      </w:r>
      <w:proofErr w:type="gramStart"/>
      <w:r w:rsidRPr="00294D54">
        <w:rPr>
          <w:rFonts w:cs="Calibri"/>
          <w:sz w:val="23"/>
          <w:szCs w:val="23"/>
        </w:rPr>
        <w:t>a</w:t>
      </w:r>
      <w:proofErr w:type="gramEnd"/>
      <w:r w:rsidRPr="00294D54">
        <w:rPr>
          <w:rFonts w:cs="Calibri"/>
          <w:sz w:val="23"/>
          <w:szCs w:val="23"/>
        </w:rPr>
        <w:t xml:space="preserve"> </w:t>
      </w:r>
      <w:r w:rsidR="005B0B3C">
        <w:rPr>
          <w:rFonts w:cs="Calibri"/>
          <w:sz w:val="23"/>
          <w:szCs w:val="23"/>
        </w:rPr>
        <w:t xml:space="preserve">Are Related </w:t>
      </w:r>
      <w:proofErr w:type="spellStart"/>
      <w:r w:rsidR="005B0B3C">
        <w:rPr>
          <w:rFonts w:cs="Calibri"/>
          <w:sz w:val="23"/>
          <w:szCs w:val="23"/>
        </w:rPr>
        <w:t>Expectaions</w:t>
      </w:r>
      <w:proofErr w:type="spellEnd"/>
      <w:r w:rsidRPr="00294D54">
        <w:rPr>
          <w:rFonts w:cs="Calibri"/>
          <w:sz w:val="23"/>
          <w:szCs w:val="23"/>
        </w:rPr>
        <w:t xml:space="preserve"> (</w:t>
      </w:r>
      <w:r w:rsidR="005B0B3C">
        <w:rPr>
          <w:rFonts w:cs="Calibri"/>
          <w:sz w:val="23"/>
          <w:szCs w:val="23"/>
        </w:rPr>
        <w:t>ARE</w:t>
      </w:r>
      <w:r w:rsidRPr="00294D54">
        <w:rPr>
          <w:rFonts w:cs="Calibri"/>
          <w:sz w:val="23"/>
          <w:szCs w:val="23"/>
        </w:rPr>
        <w:t>)</w:t>
      </w:r>
      <w:r w:rsidR="005B0B3C">
        <w:rPr>
          <w:rFonts w:cs="Calibri"/>
          <w:sz w:val="23"/>
          <w:szCs w:val="23"/>
        </w:rPr>
        <w:t xml:space="preserve"> in Reading, Writing and Maths respectively. This </w:t>
      </w:r>
      <w:r w:rsidRPr="00294D54">
        <w:rPr>
          <w:rFonts w:cs="Calibri"/>
          <w:b/>
          <w:bCs/>
          <w:sz w:val="23"/>
          <w:szCs w:val="23"/>
        </w:rPr>
        <w:t xml:space="preserve">compared to </w:t>
      </w:r>
      <w:r w:rsidR="005B0B3C">
        <w:rPr>
          <w:rFonts w:cs="Calibri"/>
          <w:b/>
          <w:bCs/>
          <w:sz w:val="23"/>
          <w:szCs w:val="23"/>
        </w:rPr>
        <w:t>75</w:t>
      </w:r>
      <w:r>
        <w:rPr>
          <w:rFonts w:cs="Calibri"/>
          <w:b/>
          <w:bCs/>
          <w:sz w:val="23"/>
          <w:szCs w:val="23"/>
        </w:rPr>
        <w:t>%</w:t>
      </w:r>
      <w:r w:rsidR="005B0B3C">
        <w:rPr>
          <w:rFonts w:cs="Calibri"/>
          <w:b/>
          <w:bCs/>
          <w:sz w:val="23"/>
          <w:szCs w:val="23"/>
        </w:rPr>
        <w:t>, 69% and 76%</w:t>
      </w:r>
      <w:r>
        <w:rPr>
          <w:rFonts w:cs="Calibri"/>
          <w:b/>
          <w:bCs/>
          <w:sz w:val="23"/>
          <w:szCs w:val="23"/>
        </w:rPr>
        <w:t xml:space="preserve"> of all children nationally</w:t>
      </w:r>
      <w:r>
        <w:rPr>
          <w:rFonts w:cs="Calibri"/>
          <w:bCs/>
          <w:sz w:val="23"/>
          <w:szCs w:val="23"/>
        </w:rPr>
        <w:t>.</w:t>
      </w:r>
      <w:r w:rsidRPr="00294D54">
        <w:rPr>
          <w:rFonts w:cs="Calibri"/>
          <w:b/>
          <w:bCs/>
          <w:sz w:val="23"/>
          <w:szCs w:val="23"/>
        </w:rPr>
        <w:t xml:space="preserve"> </w:t>
      </w:r>
      <w:r w:rsidR="005B0B3C">
        <w:rPr>
          <w:rFonts w:cs="Calibri"/>
          <w:bCs/>
          <w:sz w:val="23"/>
          <w:szCs w:val="23"/>
        </w:rPr>
        <w:t>Five</w:t>
      </w:r>
      <w:r>
        <w:rPr>
          <w:rFonts w:cs="Calibri"/>
          <w:bCs/>
          <w:sz w:val="23"/>
          <w:szCs w:val="23"/>
        </w:rPr>
        <w:t xml:space="preserve"> out of the </w:t>
      </w:r>
      <w:r w:rsidR="005B0B3C">
        <w:rPr>
          <w:rFonts w:cs="Calibri"/>
          <w:bCs/>
          <w:sz w:val="23"/>
          <w:szCs w:val="23"/>
        </w:rPr>
        <w:t>twelve</w:t>
      </w:r>
      <w:r>
        <w:rPr>
          <w:rFonts w:cs="Calibri"/>
          <w:bCs/>
          <w:sz w:val="23"/>
          <w:szCs w:val="23"/>
        </w:rPr>
        <w:t xml:space="preserve"> children </w:t>
      </w:r>
      <w:r w:rsidR="005B0B3C">
        <w:rPr>
          <w:rFonts w:cs="Calibri"/>
          <w:bCs/>
          <w:sz w:val="23"/>
          <w:szCs w:val="23"/>
        </w:rPr>
        <w:t>in receipt of PP</w:t>
      </w:r>
      <w:r>
        <w:rPr>
          <w:rFonts w:cs="Calibri"/>
          <w:bCs/>
          <w:sz w:val="23"/>
          <w:szCs w:val="23"/>
        </w:rPr>
        <w:t xml:space="preserve"> are on the SEN register</w:t>
      </w:r>
      <w:r w:rsidR="005B0B3C">
        <w:rPr>
          <w:rFonts w:cs="Calibri"/>
          <w:bCs/>
          <w:sz w:val="23"/>
          <w:szCs w:val="23"/>
        </w:rPr>
        <w:t xml:space="preserve"> with a further two having EHPs</w:t>
      </w:r>
      <w:r>
        <w:rPr>
          <w:rFonts w:cs="Calibri"/>
          <w:bCs/>
          <w:sz w:val="23"/>
          <w:szCs w:val="23"/>
        </w:rPr>
        <w:t>.</w:t>
      </w:r>
      <w:r w:rsidR="00832D35" w:rsidRPr="00992019">
        <w:rPr>
          <w:color w:val="auto"/>
          <w:sz w:val="22"/>
          <w:szCs w:val="22"/>
        </w:rPr>
        <w:t xml:space="preserve"> Progress measures for the Pupil Premium cohort from reception to the end of Y2 show that an increasing proportion of these pupils a</w:t>
      </w:r>
      <w:r w:rsidR="007D5F50">
        <w:rPr>
          <w:color w:val="auto"/>
          <w:sz w:val="22"/>
          <w:szCs w:val="22"/>
        </w:rPr>
        <w:t>re reaching expected standards at an accelerated rate compared to national figures.</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709"/>
        <w:gridCol w:w="709"/>
        <w:gridCol w:w="779"/>
        <w:gridCol w:w="780"/>
        <w:gridCol w:w="853"/>
        <w:gridCol w:w="854"/>
      </w:tblGrid>
      <w:tr w:rsidR="00832D35" w:rsidRPr="005644C5" w:rsidTr="007D5F50">
        <w:trPr>
          <w:trHeight w:val="99"/>
        </w:trPr>
        <w:tc>
          <w:tcPr>
            <w:tcW w:w="4644" w:type="dxa"/>
            <w:tcBorders>
              <w:top w:val="nil"/>
              <w:left w:val="nil"/>
              <w:bottom w:val="nil"/>
            </w:tcBorders>
          </w:tcPr>
          <w:p w:rsidR="00832D35" w:rsidRPr="005644C5" w:rsidRDefault="00832D35" w:rsidP="00C7399E">
            <w:pPr>
              <w:autoSpaceDE w:val="0"/>
              <w:autoSpaceDN w:val="0"/>
              <w:adjustRightInd w:val="0"/>
              <w:spacing w:after="0" w:line="240" w:lineRule="auto"/>
              <w:rPr>
                <w:rFonts w:ascii="Calibri" w:hAnsi="Calibri" w:cs="Calibri"/>
                <w:color w:val="000000"/>
                <w:sz w:val="20"/>
                <w:szCs w:val="20"/>
              </w:rPr>
            </w:pPr>
          </w:p>
        </w:tc>
        <w:tc>
          <w:tcPr>
            <w:tcW w:w="1418" w:type="dxa"/>
            <w:gridSpan w:val="2"/>
          </w:tcPr>
          <w:p w:rsidR="00832D35" w:rsidRPr="005644C5" w:rsidRDefault="00832D35" w:rsidP="00C7399E">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b/>
                <w:bCs/>
                <w:color w:val="000000"/>
                <w:sz w:val="20"/>
                <w:szCs w:val="20"/>
              </w:rPr>
              <w:t>Reading</w:t>
            </w:r>
          </w:p>
        </w:tc>
        <w:tc>
          <w:tcPr>
            <w:tcW w:w="1559" w:type="dxa"/>
            <w:gridSpan w:val="2"/>
          </w:tcPr>
          <w:p w:rsidR="00832D35" w:rsidRPr="005644C5" w:rsidRDefault="00832D35" w:rsidP="00C7399E">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b/>
                <w:bCs/>
                <w:color w:val="000000"/>
                <w:sz w:val="20"/>
                <w:szCs w:val="20"/>
              </w:rPr>
              <w:t xml:space="preserve">Writing </w:t>
            </w:r>
          </w:p>
        </w:tc>
        <w:tc>
          <w:tcPr>
            <w:tcW w:w="1707" w:type="dxa"/>
            <w:gridSpan w:val="2"/>
          </w:tcPr>
          <w:p w:rsidR="00832D35" w:rsidRPr="005644C5" w:rsidRDefault="00832D35" w:rsidP="00C7399E">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b/>
                <w:bCs/>
                <w:color w:val="000000"/>
                <w:sz w:val="20"/>
                <w:szCs w:val="20"/>
              </w:rPr>
              <w:t xml:space="preserve">Maths </w:t>
            </w:r>
          </w:p>
        </w:tc>
      </w:tr>
      <w:tr w:rsidR="007D5F50" w:rsidRPr="005644C5" w:rsidTr="007D5F50">
        <w:trPr>
          <w:trHeight w:val="99"/>
        </w:trPr>
        <w:tc>
          <w:tcPr>
            <w:tcW w:w="4644" w:type="dxa"/>
            <w:tcBorders>
              <w:top w:val="nil"/>
              <w:left w:val="nil"/>
            </w:tcBorders>
          </w:tcPr>
          <w:p w:rsidR="007D5F50" w:rsidRPr="005644C5" w:rsidRDefault="007D5F50" w:rsidP="00C7399E">
            <w:pPr>
              <w:autoSpaceDE w:val="0"/>
              <w:autoSpaceDN w:val="0"/>
              <w:adjustRightInd w:val="0"/>
              <w:spacing w:after="0" w:line="240" w:lineRule="auto"/>
              <w:rPr>
                <w:rFonts w:ascii="Calibri" w:hAnsi="Calibri" w:cs="Calibri"/>
                <w:color w:val="000000"/>
                <w:sz w:val="20"/>
                <w:szCs w:val="20"/>
              </w:rPr>
            </w:pPr>
          </w:p>
        </w:tc>
        <w:tc>
          <w:tcPr>
            <w:tcW w:w="709" w:type="dxa"/>
          </w:tcPr>
          <w:p w:rsidR="007D5F50" w:rsidRPr="005644C5" w:rsidRDefault="007D5F50" w:rsidP="00C7399E">
            <w:pPr>
              <w:autoSpaceDE w:val="0"/>
              <w:autoSpaceDN w:val="0"/>
              <w:adjustRightInd w:val="0"/>
              <w:spacing w:after="0" w:line="240" w:lineRule="auto"/>
              <w:rPr>
                <w:rFonts w:ascii="Comic Sans MS" w:hAnsi="Comic Sans MS" w:cs="Calibri"/>
                <w:b/>
                <w:bCs/>
                <w:color w:val="000000"/>
                <w:sz w:val="20"/>
                <w:szCs w:val="20"/>
              </w:rPr>
            </w:pPr>
            <w:proofErr w:type="spellStart"/>
            <w:r>
              <w:rPr>
                <w:rFonts w:ascii="Comic Sans MS" w:hAnsi="Comic Sans MS" w:cs="Calibri"/>
                <w:b/>
                <w:bCs/>
                <w:color w:val="000000"/>
                <w:sz w:val="20"/>
                <w:szCs w:val="20"/>
              </w:rPr>
              <w:t>Sch</w:t>
            </w:r>
            <w:proofErr w:type="spellEnd"/>
          </w:p>
        </w:tc>
        <w:tc>
          <w:tcPr>
            <w:tcW w:w="709" w:type="dxa"/>
          </w:tcPr>
          <w:p w:rsidR="007D5F50" w:rsidRPr="005644C5" w:rsidRDefault="007D5F50" w:rsidP="00C7399E">
            <w:pPr>
              <w:autoSpaceDE w:val="0"/>
              <w:autoSpaceDN w:val="0"/>
              <w:adjustRightInd w:val="0"/>
              <w:spacing w:after="0" w:line="240" w:lineRule="auto"/>
              <w:rPr>
                <w:rFonts w:ascii="Comic Sans MS" w:hAnsi="Comic Sans MS" w:cs="Calibri"/>
                <w:b/>
                <w:bCs/>
                <w:color w:val="000000"/>
                <w:sz w:val="20"/>
                <w:szCs w:val="20"/>
              </w:rPr>
            </w:pPr>
            <w:r>
              <w:rPr>
                <w:rFonts w:ascii="Comic Sans MS" w:hAnsi="Comic Sans MS" w:cs="Calibri"/>
                <w:b/>
                <w:bCs/>
                <w:color w:val="000000"/>
                <w:sz w:val="20"/>
                <w:szCs w:val="20"/>
              </w:rPr>
              <w:t>Nat</w:t>
            </w:r>
          </w:p>
        </w:tc>
        <w:tc>
          <w:tcPr>
            <w:tcW w:w="779" w:type="dxa"/>
          </w:tcPr>
          <w:p w:rsidR="007D5F50" w:rsidRPr="005644C5" w:rsidRDefault="007D5F50" w:rsidP="00AA6344">
            <w:pPr>
              <w:autoSpaceDE w:val="0"/>
              <w:autoSpaceDN w:val="0"/>
              <w:adjustRightInd w:val="0"/>
              <w:spacing w:after="0" w:line="240" w:lineRule="auto"/>
              <w:rPr>
                <w:rFonts w:ascii="Comic Sans MS" w:hAnsi="Comic Sans MS" w:cs="Calibri"/>
                <w:b/>
                <w:bCs/>
                <w:color w:val="000000"/>
                <w:sz w:val="20"/>
                <w:szCs w:val="20"/>
              </w:rPr>
            </w:pPr>
            <w:proofErr w:type="spellStart"/>
            <w:r>
              <w:rPr>
                <w:rFonts w:ascii="Comic Sans MS" w:hAnsi="Comic Sans MS" w:cs="Calibri"/>
                <w:b/>
                <w:bCs/>
                <w:color w:val="000000"/>
                <w:sz w:val="20"/>
                <w:szCs w:val="20"/>
              </w:rPr>
              <w:t>Sch</w:t>
            </w:r>
            <w:proofErr w:type="spellEnd"/>
          </w:p>
        </w:tc>
        <w:tc>
          <w:tcPr>
            <w:tcW w:w="780" w:type="dxa"/>
          </w:tcPr>
          <w:p w:rsidR="007D5F50" w:rsidRPr="005644C5" w:rsidRDefault="007D5F50" w:rsidP="00AA6344">
            <w:pPr>
              <w:autoSpaceDE w:val="0"/>
              <w:autoSpaceDN w:val="0"/>
              <w:adjustRightInd w:val="0"/>
              <w:spacing w:after="0" w:line="240" w:lineRule="auto"/>
              <w:rPr>
                <w:rFonts w:ascii="Comic Sans MS" w:hAnsi="Comic Sans MS" w:cs="Calibri"/>
                <w:b/>
                <w:bCs/>
                <w:color w:val="000000"/>
                <w:sz w:val="20"/>
                <w:szCs w:val="20"/>
              </w:rPr>
            </w:pPr>
            <w:r>
              <w:rPr>
                <w:rFonts w:ascii="Comic Sans MS" w:hAnsi="Comic Sans MS" w:cs="Calibri"/>
                <w:b/>
                <w:bCs/>
                <w:color w:val="000000"/>
                <w:sz w:val="20"/>
                <w:szCs w:val="20"/>
              </w:rPr>
              <w:t>Nat</w:t>
            </w:r>
          </w:p>
        </w:tc>
        <w:tc>
          <w:tcPr>
            <w:tcW w:w="853" w:type="dxa"/>
          </w:tcPr>
          <w:p w:rsidR="007D5F50" w:rsidRPr="005644C5" w:rsidRDefault="007D5F50" w:rsidP="00AA6344">
            <w:pPr>
              <w:autoSpaceDE w:val="0"/>
              <w:autoSpaceDN w:val="0"/>
              <w:adjustRightInd w:val="0"/>
              <w:spacing w:after="0" w:line="240" w:lineRule="auto"/>
              <w:rPr>
                <w:rFonts w:ascii="Comic Sans MS" w:hAnsi="Comic Sans MS" w:cs="Calibri"/>
                <w:b/>
                <w:bCs/>
                <w:color w:val="000000"/>
                <w:sz w:val="20"/>
                <w:szCs w:val="20"/>
              </w:rPr>
            </w:pPr>
            <w:proofErr w:type="spellStart"/>
            <w:r>
              <w:rPr>
                <w:rFonts w:ascii="Comic Sans MS" w:hAnsi="Comic Sans MS" w:cs="Calibri"/>
                <w:b/>
                <w:bCs/>
                <w:color w:val="000000"/>
                <w:sz w:val="20"/>
                <w:szCs w:val="20"/>
              </w:rPr>
              <w:t>Sch</w:t>
            </w:r>
            <w:proofErr w:type="spellEnd"/>
          </w:p>
        </w:tc>
        <w:tc>
          <w:tcPr>
            <w:tcW w:w="854" w:type="dxa"/>
          </w:tcPr>
          <w:p w:rsidR="007D5F50" w:rsidRPr="005644C5" w:rsidRDefault="007D5F50" w:rsidP="00AA6344">
            <w:pPr>
              <w:autoSpaceDE w:val="0"/>
              <w:autoSpaceDN w:val="0"/>
              <w:adjustRightInd w:val="0"/>
              <w:spacing w:after="0" w:line="240" w:lineRule="auto"/>
              <w:rPr>
                <w:rFonts w:ascii="Comic Sans MS" w:hAnsi="Comic Sans MS" w:cs="Calibri"/>
                <w:b/>
                <w:bCs/>
                <w:color w:val="000000"/>
                <w:sz w:val="20"/>
                <w:szCs w:val="20"/>
              </w:rPr>
            </w:pPr>
            <w:r>
              <w:rPr>
                <w:rFonts w:ascii="Comic Sans MS" w:hAnsi="Comic Sans MS" w:cs="Calibri"/>
                <w:b/>
                <w:bCs/>
                <w:color w:val="000000"/>
                <w:sz w:val="20"/>
                <w:szCs w:val="20"/>
              </w:rPr>
              <w:t>Nat</w:t>
            </w:r>
          </w:p>
        </w:tc>
      </w:tr>
      <w:tr w:rsidR="007D5F50" w:rsidRPr="005644C5" w:rsidTr="007D5F50">
        <w:trPr>
          <w:trHeight w:val="221"/>
        </w:trPr>
        <w:tc>
          <w:tcPr>
            <w:tcW w:w="4644" w:type="dxa"/>
          </w:tcPr>
          <w:p w:rsidR="007D5F50" w:rsidRPr="005644C5" w:rsidRDefault="007D5F50" w:rsidP="001078BD">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color w:val="000000"/>
                <w:sz w:val="20"/>
                <w:szCs w:val="20"/>
              </w:rPr>
              <w:t>% of end 201</w:t>
            </w:r>
            <w:r w:rsidR="001078BD">
              <w:rPr>
                <w:rFonts w:ascii="Comic Sans MS" w:hAnsi="Comic Sans MS" w:cs="Calibri"/>
                <w:color w:val="000000"/>
                <w:sz w:val="20"/>
                <w:szCs w:val="20"/>
              </w:rPr>
              <w:t>9</w:t>
            </w:r>
            <w:r w:rsidRPr="005644C5">
              <w:rPr>
                <w:rFonts w:ascii="Comic Sans MS" w:hAnsi="Comic Sans MS" w:cs="Calibri"/>
                <w:color w:val="000000"/>
                <w:sz w:val="20"/>
                <w:szCs w:val="20"/>
              </w:rPr>
              <w:t xml:space="preserve"> Y</w:t>
            </w:r>
            <w:r w:rsidRPr="00E73E2C">
              <w:rPr>
                <w:rFonts w:ascii="Comic Sans MS" w:hAnsi="Comic Sans MS" w:cs="Calibri"/>
                <w:color w:val="000000"/>
                <w:sz w:val="20"/>
                <w:szCs w:val="20"/>
              </w:rPr>
              <w:t>2</w:t>
            </w:r>
            <w:r w:rsidRPr="005644C5">
              <w:rPr>
                <w:rFonts w:ascii="Comic Sans MS" w:hAnsi="Comic Sans MS" w:cs="Calibri"/>
                <w:color w:val="000000"/>
                <w:sz w:val="20"/>
                <w:szCs w:val="20"/>
              </w:rPr>
              <w:t xml:space="preserve"> PP cohort reaching expected stan</w:t>
            </w:r>
            <w:r>
              <w:rPr>
                <w:rFonts w:ascii="Comic Sans MS" w:hAnsi="Comic Sans MS" w:cs="Calibri"/>
                <w:color w:val="000000"/>
                <w:sz w:val="20"/>
                <w:szCs w:val="20"/>
              </w:rPr>
              <w:t>dards at the end of Early Years</w:t>
            </w:r>
          </w:p>
        </w:tc>
        <w:tc>
          <w:tcPr>
            <w:tcW w:w="709" w:type="dxa"/>
          </w:tcPr>
          <w:p w:rsidR="007D5F50" w:rsidRPr="005644C5" w:rsidRDefault="005B0B3C"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50</w:t>
            </w:r>
          </w:p>
        </w:tc>
        <w:tc>
          <w:tcPr>
            <w:tcW w:w="709" w:type="dxa"/>
          </w:tcPr>
          <w:p w:rsidR="007D5F50" w:rsidRPr="005644C5" w:rsidRDefault="005B0B3C"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77</w:t>
            </w:r>
          </w:p>
        </w:tc>
        <w:tc>
          <w:tcPr>
            <w:tcW w:w="779" w:type="dxa"/>
          </w:tcPr>
          <w:p w:rsidR="007D5F50" w:rsidRPr="005644C5" w:rsidRDefault="005B0B3C"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50</w:t>
            </w:r>
          </w:p>
        </w:tc>
        <w:tc>
          <w:tcPr>
            <w:tcW w:w="780" w:type="dxa"/>
          </w:tcPr>
          <w:p w:rsidR="007D5F50" w:rsidRPr="005644C5" w:rsidRDefault="005B0B3C"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73</w:t>
            </w:r>
          </w:p>
        </w:tc>
        <w:tc>
          <w:tcPr>
            <w:tcW w:w="853" w:type="dxa"/>
          </w:tcPr>
          <w:p w:rsidR="007D5F50" w:rsidRPr="005644C5" w:rsidRDefault="005B0B3C"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50</w:t>
            </w:r>
          </w:p>
        </w:tc>
        <w:tc>
          <w:tcPr>
            <w:tcW w:w="854" w:type="dxa"/>
          </w:tcPr>
          <w:p w:rsidR="007D5F50" w:rsidRPr="005644C5" w:rsidRDefault="005B0B3C"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59</w:t>
            </w:r>
          </w:p>
        </w:tc>
      </w:tr>
      <w:tr w:rsidR="007D5F50" w:rsidRPr="005644C5" w:rsidTr="007D5F50">
        <w:trPr>
          <w:trHeight w:val="223"/>
        </w:trPr>
        <w:tc>
          <w:tcPr>
            <w:tcW w:w="4644" w:type="dxa"/>
          </w:tcPr>
          <w:p w:rsidR="007D5F50" w:rsidRPr="005644C5" w:rsidRDefault="007D5F50" w:rsidP="001078BD">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 of end 201</w:t>
            </w:r>
            <w:r w:rsidR="001078BD">
              <w:rPr>
                <w:rFonts w:ascii="Comic Sans MS" w:hAnsi="Comic Sans MS" w:cs="Calibri"/>
                <w:color w:val="000000"/>
                <w:sz w:val="20"/>
                <w:szCs w:val="20"/>
              </w:rPr>
              <w:t>9</w:t>
            </w:r>
            <w:r w:rsidRPr="00E73E2C">
              <w:rPr>
                <w:rFonts w:ascii="Comic Sans MS" w:hAnsi="Comic Sans MS" w:cs="Calibri"/>
                <w:color w:val="000000"/>
                <w:sz w:val="20"/>
                <w:szCs w:val="20"/>
              </w:rPr>
              <w:t xml:space="preserve"> Y2</w:t>
            </w:r>
            <w:r w:rsidRPr="005644C5">
              <w:rPr>
                <w:rFonts w:ascii="Comic Sans MS" w:hAnsi="Comic Sans MS" w:cs="Calibri"/>
                <w:color w:val="000000"/>
                <w:sz w:val="20"/>
                <w:szCs w:val="20"/>
              </w:rPr>
              <w:t xml:space="preserve"> PP cohort reaching expected standards at the end of KS1 </w:t>
            </w:r>
          </w:p>
        </w:tc>
        <w:tc>
          <w:tcPr>
            <w:tcW w:w="709" w:type="dxa"/>
          </w:tcPr>
          <w:p w:rsidR="007D5F50" w:rsidRPr="005644C5" w:rsidRDefault="005B0B3C"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58</w:t>
            </w:r>
          </w:p>
        </w:tc>
        <w:tc>
          <w:tcPr>
            <w:tcW w:w="709" w:type="dxa"/>
          </w:tcPr>
          <w:p w:rsidR="007D5F50" w:rsidRPr="005644C5" w:rsidRDefault="001B1FE8"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75</w:t>
            </w:r>
          </w:p>
        </w:tc>
        <w:tc>
          <w:tcPr>
            <w:tcW w:w="779" w:type="dxa"/>
          </w:tcPr>
          <w:p w:rsidR="007D5F50" w:rsidRPr="005644C5" w:rsidRDefault="001B1FE8"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50</w:t>
            </w:r>
          </w:p>
        </w:tc>
        <w:tc>
          <w:tcPr>
            <w:tcW w:w="780" w:type="dxa"/>
          </w:tcPr>
          <w:p w:rsidR="007D5F50" w:rsidRPr="005644C5" w:rsidRDefault="001B1FE8"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69</w:t>
            </w:r>
          </w:p>
        </w:tc>
        <w:tc>
          <w:tcPr>
            <w:tcW w:w="853" w:type="dxa"/>
          </w:tcPr>
          <w:p w:rsidR="007D5F50" w:rsidRPr="005644C5" w:rsidRDefault="001B1FE8"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58</w:t>
            </w:r>
          </w:p>
        </w:tc>
        <w:tc>
          <w:tcPr>
            <w:tcW w:w="854" w:type="dxa"/>
          </w:tcPr>
          <w:p w:rsidR="007D5F50" w:rsidRPr="005644C5" w:rsidRDefault="001B1FE8"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76</w:t>
            </w:r>
          </w:p>
        </w:tc>
      </w:tr>
      <w:tr w:rsidR="007D5F50" w:rsidRPr="005644C5" w:rsidTr="007D5F50">
        <w:trPr>
          <w:trHeight w:val="223"/>
        </w:trPr>
        <w:tc>
          <w:tcPr>
            <w:tcW w:w="4644" w:type="dxa"/>
          </w:tcPr>
          <w:p w:rsidR="007D5F50" w:rsidRPr="00E73E2C" w:rsidRDefault="007D5F50" w:rsidP="001078BD">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 progress for end of 201</w:t>
            </w:r>
            <w:r w:rsidR="001078BD">
              <w:rPr>
                <w:rFonts w:ascii="Comic Sans MS" w:hAnsi="Comic Sans MS" w:cs="Calibri"/>
                <w:color w:val="000000"/>
                <w:sz w:val="20"/>
                <w:szCs w:val="20"/>
              </w:rPr>
              <w:t>9</w:t>
            </w:r>
            <w:r>
              <w:rPr>
                <w:rFonts w:ascii="Comic Sans MS" w:hAnsi="Comic Sans MS" w:cs="Calibri"/>
                <w:color w:val="000000"/>
                <w:sz w:val="20"/>
                <w:szCs w:val="20"/>
              </w:rPr>
              <w:t xml:space="preserve"> Y2 PP from end of EYFS to end of KS1</w:t>
            </w:r>
          </w:p>
        </w:tc>
        <w:tc>
          <w:tcPr>
            <w:tcW w:w="709" w:type="dxa"/>
          </w:tcPr>
          <w:p w:rsidR="007D5F50" w:rsidRDefault="001B1FE8"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+8</w:t>
            </w:r>
          </w:p>
        </w:tc>
        <w:tc>
          <w:tcPr>
            <w:tcW w:w="709" w:type="dxa"/>
          </w:tcPr>
          <w:p w:rsidR="007D5F50" w:rsidRPr="001B1FE8" w:rsidRDefault="001B1FE8" w:rsidP="007D5F50">
            <w:pPr>
              <w:autoSpaceDE w:val="0"/>
              <w:autoSpaceDN w:val="0"/>
              <w:adjustRightInd w:val="0"/>
              <w:spacing w:after="0" w:line="240" w:lineRule="auto"/>
              <w:rPr>
                <w:rFonts w:ascii="Comic Sans MS" w:hAnsi="Comic Sans MS" w:cs="Calibri"/>
                <w:color w:val="FF0000"/>
                <w:sz w:val="20"/>
                <w:szCs w:val="20"/>
              </w:rPr>
            </w:pPr>
            <w:r w:rsidRPr="001B1FE8">
              <w:rPr>
                <w:rFonts w:ascii="Comic Sans MS" w:hAnsi="Comic Sans MS" w:cs="Calibri"/>
                <w:color w:val="FF0000"/>
                <w:sz w:val="20"/>
                <w:szCs w:val="20"/>
              </w:rPr>
              <w:t>-2</w:t>
            </w:r>
          </w:p>
        </w:tc>
        <w:tc>
          <w:tcPr>
            <w:tcW w:w="779" w:type="dxa"/>
          </w:tcPr>
          <w:p w:rsidR="007D5F50" w:rsidRDefault="001B1FE8"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0</w:t>
            </w:r>
          </w:p>
        </w:tc>
        <w:tc>
          <w:tcPr>
            <w:tcW w:w="780" w:type="dxa"/>
          </w:tcPr>
          <w:p w:rsidR="007D5F50" w:rsidRPr="001B1FE8" w:rsidRDefault="001B1FE8" w:rsidP="00C7399E">
            <w:pPr>
              <w:autoSpaceDE w:val="0"/>
              <w:autoSpaceDN w:val="0"/>
              <w:adjustRightInd w:val="0"/>
              <w:spacing w:after="0" w:line="240" w:lineRule="auto"/>
              <w:rPr>
                <w:rFonts w:ascii="Comic Sans MS" w:hAnsi="Comic Sans MS" w:cs="Calibri"/>
                <w:color w:val="FF0000"/>
                <w:sz w:val="20"/>
                <w:szCs w:val="20"/>
              </w:rPr>
            </w:pPr>
            <w:r w:rsidRPr="001B1FE8">
              <w:rPr>
                <w:rFonts w:ascii="Comic Sans MS" w:hAnsi="Comic Sans MS" w:cs="Calibri"/>
                <w:color w:val="FF0000"/>
                <w:sz w:val="20"/>
                <w:szCs w:val="20"/>
              </w:rPr>
              <w:t>-4</w:t>
            </w:r>
          </w:p>
        </w:tc>
        <w:tc>
          <w:tcPr>
            <w:tcW w:w="853" w:type="dxa"/>
          </w:tcPr>
          <w:p w:rsidR="007D5F50" w:rsidRDefault="001B1FE8" w:rsidP="00C7399E">
            <w:p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+8</w:t>
            </w:r>
          </w:p>
        </w:tc>
        <w:tc>
          <w:tcPr>
            <w:tcW w:w="854" w:type="dxa"/>
          </w:tcPr>
          <w:p w:rsidR="007D5F50" w:rsidRPr="001B1FE8" w:rsidRDefault="001B1FE8" w:rsidP="00C7399E">
            <w:pPr>
              <w:autoSpaceDE w:val="0"/>
              <w:autoSpaceDN w:val="0"/>
              <w:adjustRightInd w:val="0"/>
              <w:spacing w:after="0" w:line="240" w:lineRule="auto"/>
              <w:rPr>
                <w:rFonts w:ascii="Comic Sans MS" w:hAnsi="Comic Sans MS" w:cs="Calibri"/>
                <w:color w:val="FF0000"/>
                <w:sz w:val="20"/>
                <w:szCs w:val="20"/>
              </w:rPr>
            </w:pPr>
            <w:r w:rsidRPr="001B1FE8">
              <w:rPr>
                <w:rFonts w:ascii="Comic Sans MS" w:hAnsi="Comic Sans MS" w:cs="Calibri"/>
                <w:color w:val="FF0000"/>
                <w:sz w:val="20"/>
                <w:szCs w:val="20"/>
              </w:rPr>
              <w:t>-3</w:t>
            </w:r>
          </w:p>
        </w:tc>
      </w:tr>
    </w:tbl>
    <w:p w:rsidR="00832D35" w:rsidRDefault="00832D35" w:rsidP="00832D35">
      <w:pPr>
        <w:pStyle w:val="Default"/>
      </w:pPr>
    </w:p>
    <w:p w:rsidR="00D525D8" w:rsidRDefault="00D525D8">
      <w:pPr>
        <w:rPr>
          <w:rFonts w:ascii="Comic Sans MS" w:hAnsi="Comic Sans MS" w:cs="Comic Sans MS"/>
          <w:b/>
          <w:color w:val="000000"/>
        </w:rPr>
      </w:pPr>
      <w:r>
        <w:rPr>
          <w:b/>
        </w:rPr>
        <w:br w:type="page"/>
      </w:r>
    </w:p>
    <w:p w:rsidR="008371F2" w:rsidRDefault="008371F2" w:rsidP="008371F2">
      <w:pPr>
        <w:pStyle w:val="Default"/>
        <w:jc w:val="both"/>
        <w:rPr>
          <w:b/>
          <w:sz w:val="22"/>
          <w:szCs w:val="22"/>
        </w:rPr>
      </w:pPr>
      <w:r>
        <w:rPr>
          <w:b/>
          <w:sz w:val="22"/>
          <w:szCs w:val="22"/>
        </w:rPr>
        <w:lastRenderedPageBreak/>
        <w:t>Impact of Thrive</w:t>
      </w:r>
    </w:p>
    <w:p w:rsidR="008371F2" w:rsidRDefault="008371F2" w:rsidP="00204AA2">
      <w:pPr>
        <w:spacing w:after="0"/>
        <w:jc w:val="both"/>
        <w:rPr>
          <w:i/>
        </w:rPr>
      </w:pPr>
      <w:r w:rsidRPr="008371F2">
        <w:rPr>
          <w:rFonts w:ascii="Comic Sans MS" w:hAnsi="Comic Sans MS"/>
        </w:rPr>
        <w:t xml:space="preserve">The </w:t>
      </w:r>
      <w:r w:rsidRPr="008371F2">
        <w:rPr>
          <w:rFonts w:ascii="Comic Sans MS" w:hAnsi="Comic Sans MS"/>
          <w:i/>
        </w:rPr>
        <w:t xml:space="preserve">Thrive </w:t>
      </w:r>
      <w:proofErr w:type="gramStart"/>
      <w:r w:rsidRPr="008371F2">
        <w:rPr>
          <w:rFonts w:ascii="Comic Sans MS" w:hAnsi="Comic Sans MS"/>
          <w:i/>
        </w:rPr>
        <w:t xml:space="preserve">Approach </w:t>
      </w:r>
      <w:r>
        <w:rPr>
          <w:rFonts w:ascii="Comic Sans MS" w:hAnsi="Comic Sans MS"/>
          <w:i/>
        </w:rPr>
        <w:t>,</w:t>
      </w:r>
      <w:proofErr w:type="gramEnd"/>
      <w:r>
        <w:rPr>
          <w:rFonts w:ascii="Comic Sans MS" w:hAnsi="Comic Sans MS"/>
        </w:rPr>
        <w:t xml:space="preserve"> i</w:t>
      </w:r>
      <w:r w:rsidRPr="008371F2">
        <w:rPr>
          <w:rFonts w:ascii="Comic Sans MS" w:hAnsi="Comic Sans MS"/>
        </w:rPr>
        <w:t>s best explained by this extract from their website</w:t>
      </w:r>
      <w:r w:rsidRPr="008371F2">
        <w:rPr>
          <w:rFonts w:ascii="Comic Sans MS" w:hAnsi="Comic Sans MS"/>
          <w:i/>
        </w:rPr>
        <w:t xml:space="preserve">- </w:t>
      </w:r>
      <w:r w:rsidRPr="008371F2">
        <w:rPr>
          <w:i/>
        </w:rPr>
        <w:t>What does it take to develop healthy, happy, confident children who are ready and open to learning? Recent advances in neuroscience, attachment theory and child development have provided some of the answers to this question.</w:t>
      </w:r>
    </w:p>
    <w:p w:rsidR="00204AA2" w:rsidRPr="008371F2" w:rsidRDefault="00204AA2" w:rsidP="00204AA2">
      <w:pPr>
        <w:spacing w:after="0"/>
        <w:jc w:val="both"/>
        <w:rPr>
          <w:i/>
        </w:rPr>
      </w:pPr>
    </w:p>
    <w:p w:rsidR="008371F2" w:rsidRDefault="008371F2" w:rsidP="00204AA2">
      <w:pPr>
        <w:spacing w:after="0"/>
        <w:jc w:val="both"/>
        <w:rPr>
          <w:rFonts w:ascii="Comic Sans MS" w:hAnsi="Comic Sans MS"/>
          <w:i/>
        </w:rPr>
      </w:pPr>
      <w:r w:rsidRPr="008371F2">
        <w:rPr>
          <w:i/>
        </w:rPr>
        <w:t>The Thrive Approach draws on insights from these fields to provide a powerful way of working with children and young people that supports optimal social and emotional development. In particular, the Approach equips you to work in a targeted way with children and young people who have struggled with difficult life events to help them re-engage with life and learning</w:t>
      </w:r>
      <w:r w:rsidRPr="008371F2">
        <w:rPr>
          <w:rFonts w:ascii="Comic Sans MS" w:hAnsi="Comic Sans MS"/>
          <w:i/>
        </w:rPr>
        <w:t>.</w:t>
      </w:r>
    </w:p>
    <w:p w:rsidR="00204AA2" w:rsidRDefault="00204AA2" w:rsidP="00204AA2">
      <w:pPr>
        <w:spacing w:after="0"/>
        <w:jc w:val="both"/>
        <w:rPr>
          <w:rFonts w:ascii="Comic Sans MS" w:hAnsi="Comic Sans MS"/>
        </w:rPr>
      </w:pPr>
    </w:p>
    <w:p w:rsidR="008371F2" w:rsidRDefault="008371F2" w:rsidP="00204AA2">
      <w:pPr>
        <w:spacing w:after="0"/>
        <w:jc w:val="both"/>
        <w:rPr>
          <w:rFonts w:ascii="Comic Sans MS" w:hAnsi="Comic Sans MS"/>
        </w:rPr>
      </w:pPr>
      <w:r>
        <w:rPr>
          <w:rFonts w:ascii="Comic Sans MS" w:hAnsi="Comic Sans MS"/>
        </w:rPr>
        <w:t>At Red Row Thrive is available to any child identified by staff or carers as needing additional help with their social and emotional development, so that any barriers to their learning are reduced. We want all groups of pupils to make at least 6 steps of progress in a year.  The table below shows how Thrive has enabled pupils to make accelerated progress across the curriculum. This is particularly significant given the range of i</w:t>
      </w:r>
      <w:r w:rsidR="00584702">
        <w:rPr>
          <w:rFonts w:ascii="Comic Sans MS" w:hAnsi="Comic Sans MS"/>
        </w:rPr>
        <w:t>ssues that these pupils require</w:t>
      </w:r>
      <w:r>
        <w:rPr>
          <w:rFonts w:ascii="Comic Sans MS" w:hAnsi="Comic Sans MS"/>
        </w:rPr>
        <w:t xml:space="preserve"> help with.</w:t>
      </w:r>
    </w:p>
    <w:p w:rsidR="00204AA2" w:rsidRPr="008371F2" w:rsidRDefault="00204AA2" w:rsidP="00204AA2">
      <w:pPr>
        <w:spacing w:after="0"/>
        <w:jc w:val="both"/>
        <w:rPr>
          <w:rFonts w:ascii="Comic Sans MS" w:hAnsi="Comic Sans M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30"/>
        <w:gridCol w:w="1230"/>
        <w:gridCol w:w="1231"/>
      </w:tblGrid>
      <w:tr w:rsidR="00584702" w:rsidRPr="005644C5" w:rsidTr="00584702">
        <w:trPr>
          <w:trHeight w:val="99"/>
        </w:trPr>
        <w:tc>
          <w:tcPr>
            <w:tcW w:w="5637" w:type="dxa"/>
            <w:tcBorders>
              <w:top w:val="nil"/>
              <w:left w:val="nil"/>
            </w:tcBorders>
          </w:tcPr>
          <w:p w:rsidR="00584702" w:rsidRPr="005644C5" w:rsidRDefault="00584702" w:rsidP="00AA6344">
            <w:pPr>
              <w:autoSpaceDE w:val="0"/>
              <w:autoSpaceDN w:val="0"/>
              <w:adjustRightInd w:val="0"/>
              <w:spacing w:after="0" w:line="240" w:lineRule="auto"/>
              <w:rPr>
                <w:rFonts w:ascii="Calibri" w:hAnsi="Calibri" w:cs="Calibri"/>
                <w:color w:val="000000"/>
                <w:sz w:val="20"/>
                <w:szCs w:val="20"/>
              </w:rPr>
            </w:pPr>
          </w:p>
        </w:tc>
        <w:tc>
          <w:tcPr>
            <w:tcW w:w="1230" w:type="dxa"/>
          </w:tcPr>
          <w:p w:rsidR="00584702" w:rsidRPr="005644C5" w:rsidRDefault="00584702" w:rsidP="00AA6344">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b/>
                <w:bCs/>
                <w:color w:val="000000"/>
                <w:sz w:val="20"/>
                <w:szCs w:val="20"/>
              </w:rPr>
              <w:t>Reading</w:t>
            </w:r>
          </w:p>
        </w:tc>
        <w:tc>
          <w:tcPr>
            <w:tcW w:w="1230" w:type="dxa"/>
          </w:tcPr>
          <w:p w:rsidR="00584702" w:rsidRPr="005644C5" w:rsidRDefault="00584702" w:rsidP="00AA6344">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b/>
                <w:bCs/>
                <w:color w:val="000000"/>
                <w:sz w:val="20"/>
                <w:szCs w:val="20"/>
              </w:rPr>
              <w:t xml:space="preserve">Writing </w:t>
            </w:r>
          </w:p>
        </w:tc>
        <w:tc>
          <w:tcPr>
            <w:tcW w:w="1231" w:type="dxa"/>
          </w:tcPr>
          <w:p w:rsidR="00584702" w:rsidRPr="005644C5" w:rsidRDefault="00584702" w:rsidP="00AA6344">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b/>
                <w:bCs/>
                <w:color w:val="000000"/>
                <w:sz w:val="20"/>
                <w:szCs w:val="20"/>
              </w:rPr>
              <w:t xml:space="preserve">Maths </w:t>
            </w:r>
          </w:p>
        </w:tc>
      </w:tr>
      <w:tr w:rsidR="00584702" w:rsidRPr="005644C5" w:rsidTr="00584702">
        <w:trPr>
          <w:trHeight w:val="221"/>
        </w:trPr>
        <w:tc>
          <w:tcPr>
            <w:tcW w:w="5637" w:type="dxa"/>
          </w:tcPr>
          <w:p w:rsidR="00584702" w:rsidRPr="005644C5" w:rsidRDefault="00584702" w:rsidP="00584702">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color w:val="000000"/>
                <w:sz w:val="20"/>
                <w:szCs w:val="20"/>
              </w:rPr>
              <w:t xml:space="preserve">% </w:t>
            </w:r>
            <w:r>
              <w:rPr>
                <w:rFonts w:ascii="Comic Sans MS" w:hAnsi="Comic Sans MS" w:cs="Calibri"/>
                <w:color w:val="000000"/>
                <w:sz w:val="20"/>
                <w:szCs w:val="20"/>
              </w:rPr>
              <w:t>of all pupils making 6 or more steps of progress</w:t>
            </w:r>
            <w:r w:rsidRPr="005644C5">
              <w:rPr>
                <w:rFonts w:ascii="Comic Sans MS" w:hAnsi="Comic Sans MS" w:cs="Calibri"/>
                <w:color w:val="000000"/>
                <w:sz w:val="20"/>
                <w:szCs w:val="20"/>
              </w:rPr>
              <w:t xml:space="preserve"> </w:t>
            </w:r>
          </w:p>
        </w:tc>
        <w:tc>
          <w:tcPr>
            <w:tcW w:w="1230" w:type="dxa"/>
          </w:tcPr>
          <w:p w:rsidR="00584702" w:rsidRPr="005644C5" w:rsidRDefault="009A5D18" w:rsidP="009A5D18">
            <w:pPr>
              <w:autoSpaceDE w:val="0"/>
              <w:autoSpaceDN w:val="0"/>
              <w:adjustRightInd w:val="0"/>
              <w:spacing w:after="0" w:line="240" w:lineRule="auto"/>
              <w:jc w:val="center"/>
              <w:rPr>
                <w:rFonts w:ascii="Comic Sans MS" w:hAnsi="Comic Sans MS" w:cs="Calibri"/>
                <w:color w:val="000000"/>
                <w:sz w:val="20"/>
                <w:szCs w:val="20"/>
              </w:rPr>
            </w:pPr>
            <w:r>
              <w:rPr>
                <w:rFonts w:ascii="Comic Sans MS" w:hAnsi="Comic Sans MS" w:cs="Calibri"/>
                <w:color w:val="000000"/>
                <w:sz w:val="20"/>
                <w:szCs w:val="20"/>
              </w:rPr>
              <w:t>85.0</w:t>
            </w:r>
          </w:p>
        </w:tc>
        <w:tc>
          <w:tcPr>
            <w:tcW w:w="1230" w:type="dxa"/>
          </w:tcPr>
          <w:p w:rsidR="00584702" w:rsidRPr="005644C5" w:rsidRDefault="009A5D18" w:rsidP="009A5D18">
            <w:pPr>
              <w:autoSpaceDE w:val="0"/>
              <w:autoSpaceDN w:val="0"/>
              <w:adjustRightInd w:val="0"/>
              <w:spacing w:after="0" w:line="240" w:lineRule="auto"/>
              <w:jc w:val="center"/>
              <w:rPr>
                <w:rFonts w:ascii="Comic Sans MS" w:hAnsi="Comic Sans MS" w:cs="Calibri"/>
                <w:color w:val="000000"/>
                <w:sz w:val="20"/>
                <w:szCs w:val="20"/>
              </w:rPr>
            </w:pPr>
            <w:r>
              <w:rPr>
                <w:rFonts w:ascii="Comic Sans MS" w:hAnsi="Comic Sans MS" w:cs="Calibri"/>
                <w:color w:val="000000"/>
                <w:sz w:val="20"/>
                <w:szCs w:val="20"/>
              </w:rPr>
              <w:t>75.0</w:t>
            </w:r>
          </w:p>
        </w:tc>
        <w:tc>
          <w:tcPr>
            <w:tcW w:w="1231" w:type="dxa"/>
          </w:tcPr>
          <w:p w:rsidR="00584702" w:rsidRPr="005644C5" w:rsidRDefault="009A5D18" w:rsidP="009A5D18">
            <w:pPr>
              <w:autoSpaceDE w:val="0"/>
              <w:autoSpaceDN w:val="0"/>
              <w:adjustRightInd w:val="0"/>
              <w:spacing w:after="0" w:line="240" w:lineRule="auto"/>
              <w:jc w:val="center"/>
              <w:rPr>
                <w:rFonts w:ascii="Comic Sans MS" w:hAnsi="Comic Sans MS" w:cs="Calibri"/>
                <w:color w:val="000000"/>
                <w:sz w:val="20"/>
                <w:szCs w:val="20"/>
              </w:rPr>
            </w:pPr>
            <w:r>
              <w:rPr>
                <w:rFonts w:ascii="Comic Sans MS" w:hAnsi="Comic Sans MS" w:cs="Calibri"/>
                <w:color w:val="000000"/>
                <w:sz w:val="20"/>
                <w:szCs w:val="20"/>
              </w:rPr>
              <w:t>70.0</w:t>
            </w:r>
          </w:p>
        </w:tc>
      </w:tr>
      <w:tr w:rsidR="00584702" w:rsidRPr="005644C5" w:rsidTr="00584702">
        <w:trPr>
          <w:trHeight w:val="223"/>
        </w:trPr>
        <w:tc>
          <w:tcPr>
            <w:tcW w:w="5637" w:type="dxa"/>
          </w:tcPr>
          <w:p w:rsidR="00584702" w:rsidRPr="005644C5" w:rsidRDefault="00584702" w:rsidP="00AA6344">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color w:val="000000"/>
                <w:sz w:val="20"/>
                <w:szCs w:val="20"/>
              </w:rPr>
              <w:t xml:space="preserve">% </w:t>
            </w:r>
            <w:r>
              <w:rPr>
                <w:rFonts w:ascii="Comic Sans MS" w:hAnsi="Comic Sans MS" w:cs="Calibri"/>
                <w:color w:val="000000"/>
                <w:sz w:val="20"/>
                <w:szCs w:val="20"/>
              </w:rPr>
              <w:t>of Thrive pupils making 6 or more steps of progress</w:t>
            </w:r>
          </w:p>
        </w:tc>
        <w:tc>
          <w:tcPr>
            <w:tcW w:w="1230" w:type="dxa"/>
          </w:tcPr>
          <w:p w:rsidR="00584702" w:rsidRPr="00584702" w:rsidRDefault="009A5D18" w:rsidP="009A5D18">
            <w:pPr>
              <w:autoSpaceDE w:val="0"/>
              <w:autoSpaceDN w:val="0"/>
              <w:adjustRightInd w:val="0"/>
              <w:spacing w:after="0" w:line="240" w:lineRule="auto"/>
              <w:jc w:val="center"/>
              <w:rPr>
                <w:rFonts w:ascii="Comic Sans MS" w:hAnsi="Comic Sans MS" w:cs="Calibri"/>
                <w:b/>
                <w:color w:val="000000"/>
                <w:sz w:val="20"/>
                <w:szCs w:val="20"/>
              </w:rPr>
            </w:pPr>
            <w:r>
              <w:rPr>
                <w:rFonts w:ascii="Comic Sans MS" w:hAnsi="Comic Sans MS" w:cs="Calibri"/>
                <w:b/>
                <w:color w:val="000000"/>
                <w:sz w:val="20"/>
                <w:szCs w:val="20"/>
              </w:rPr>
              <w:t>82.9</w:t>
            </w:r>
          </w:p>
        </w:tc>
        <w:tc>
          <w:tcPr>
            <w:tcW w:w="1230" w:type="dxa"/>
          </w:tcPr>
          <w:p w:rsidR="00584702" w:rsidRPr="00584702" w:rsidRDefault="009A5D18" w:rsidP="009A5D18">
            <w:pPr>
              <w:autoSpaceDE w:val="0"/>
              <w:autoSpaceDN w:val="0"/>
              <w:adjustRightInd w:val="0"/>
              <w:spacing w:after="0" w:line="240" w:lineRule="auto"/>
              <w:jc w:val="center"/>
              <w:rPr>
                <w:rFonts w:ascii="Comic Sans MS" w:hAnsi="Comic Sans MS" w:cs="Calibri"/>
                <w:b/>
                <w:color w:val="000000"/>
                <w:sz w:val="20"/>
                <w:szCs w:val="20"/>
              </w:rPr>
            </w:pPr>
            <w:r>
              <w:rPr>
                <w:rFonts w:ascii="Comic Sans MS" w:hAnsi="Comic Sans MS" w:cs="Calibri"/>
                <w:b/>
                <w:color w:val="000000"/>
                <w:sz w:val="20"/>
                <w:szCs w:val="20"/>
              </w:rPr>
              <w:t>82.2</w:t>
            </w:r>
          </w:p>
        </w:tc>
        <w:tc>
          <w:tcPr>
            <w:tcW w:w="1231" w:type="dxa"/>
          </w:tcPr>
          <w:p w:rsidR="00584702" w:rsidRPr="00584702" w:rsidRDefault="009A5D18" w:rsidP="009A5D18">
            <w:pPr>
              <w:autoSpaceDE w:val="0"/>
              <w:autoSpaceDN w:val="0"/>
              <w:adjustRightInd w:val="0"/>
              <w:spacing w:after="0" w:line="240" w:lineRule="auto"/>
              <w:jc w:val="center"/>
              <w:rPr>
                <w:rFonts w:ascii="Comic Sans MS" w:hAnsi="Comic Sans MS" w:cs="Calibri"/>
                <w:b/>
                <w:color w:val="000000"/>
                <w:sz w:val="20"/>
                <w:szCs w:val="20"/>
              </w:rPr>
            </w:pPr>
            <w:r>
              <w:rPr>
                <w:rFonts w:ascii="Comic Sans MS" w:hAnsi="Comic Sans MS" w:cs="Calibri"/>
                <w:b/>
                <w:color w:val="000000"/>
                <w:sz w:val="20"/>
                <w:szCs w:val="20"/>
              </w:rPr>
              <w:t>77.9</w:t>
            </w:r>
          </w:p>
        </w:tc>
      </w:tr>
      <w:tr w:rsidR="00584702" w:rsidRPr="00E73E2C" w:rsidTr="00584702">
        <w:trPr>
          <w:trHeight w:val="223"/>
        </w:trPr>
        <w:tc>
          <w:tcPr>
            <w:tcW w:w="5637" w:type="dxa"/>
          </w:tcPr>
          <w:p w:rsidR="00584702" w:rsidRPr="005644C5" w:rsidRDefault="00584702" w:rsidP="00AA6344">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color w:val="000000"/>
                <w:sz w:val="20"/>
                <w:szCs w:val="20"/>
              </w:rPr>
              <w:t xml:space="preserve">% </w:t>
            </w:r>
            <w:r>
              <w:rPr>
                <w:rFonts w:ascii="Comic Sans MS" w:hAnsi="Comic Sans MS" w:cs="Calibri"/>
                <w:color w:val="000000"/>
                <w:sz w:val="20"/>
                <w:szCs w:val="20"/>
              </w:rPr>
              <w:t>of all pupils making 7 or more steps of progress</w:t>
            </w:r>
            <w:r w:rsidRPr="005644C5">
              <w:rPr>
                <w:rFonts w:ascii="Comic Sans MS" w:hAnsi="Comic Sans MS" w:cs="Calibri"/>
                <w:color w:val="000000"/>
                <w:sz w:val="20"/>
                <w:szCs w:val="20"/>
              </w:rPr>
              <w:t xml:space="preserve"> </w:t>
            </w:r>
          </w:p>
        </w:tc>
        <w:tc>
          <w:tcPr>
            <w:tcW w:w="1230" w:type="dxa"/>
          </w:tcPr>
          <w:p w:rsidR="00584702" w:rsidRPr="00E73E2C" w:rsidRDefault="009A5D18" w:rsidP="009A5D18">
            <w:pPr>
              <w:autoSpaceDE w:val="0"/>
              <w:autoSpaceDN w:val="0"/>
              <w:adjustRightInd w:val="0"/>
              <w:spacing w:after="0" w:line="240" w:lineRule="auto"/>
              <w:jc w:val="center"/>
              <w:rPr>
                <w:rFonts w:ascii="Comic Sans MS" w:hAnsi="Comic Sans MS" w:cs="Calibri"/>
                <w:color w:val="000000"/>
                <w:sz w:val="20"/>
                <w:szCs w:val="20"/>
              </w:rPr>
            </w:pPr>
            <w:r>
              <w:rPr>
                <w:rFonts w:ascii="Comic Sans MS" w:hAnsi="Comic Sans MS" w:cs="Calibri"/>
                <w:color w:val="000000"/>
                <w:sz w:val="20"/>
                <w:szCs w:val="20"/>
              </w:rPr>
              <w:t>31.7</w:t>
            </w:r>
          </w:p>
        </w:tc>
        <w:tc>
          <w:tcPr>
            <w:tcW w:w="1230" w:type="dxa"/>
          </w:tcPr>
          <w:p w:rsidR="00584702" w:rsidRPr="00E73E2C" w:rsidRDefault="009A5D18" w:rsidP="009A5D18">
            <w:pPr>
              <w:autoSpaceDE w:val="0"/>
              <w:autoSpaceDN w:val="0"/>
              <w:adjustRightInd w:val="0"/>
              <w:spacing w:after="0" w:line="240" w:lineRule="auto"/>
              <w:jc w:val="center"/>
              <w:rPr>
                <w:rFonts w:ascii="Comic Sans MS" w:hAnsi="Comic Sans MS" w:cs="Calibri"/>
                <w:color w:val="000000"/>
                <w:sz w:val="20"/>
                <w:szCs w:val="20"/>
              </w:rPr>
            </w:pPr>
            <w:r>
              <w:rPr>
                <w:rFonts w:ascii="Comic Sans MS" w:hAnsi="Comic Sans MS" w:cs="Calibri"/>
                <w:color w:val="000000"/>
                <w:sz w:val="20"/>
                <w:szCs w:val="20"/>
              </w:rPr>
              <w:t>28.3</w:t>
            </w:r>
          </w:p>
        </w:tc>
        <w:tc>
          <w:tcPr>
            <w:tcW w:w="1231" w:type="dxa"/>
          </w:tcPr>
          <w:p w:rsidR="00584702" w:rsidRPr="009A5D18" w:rsidRDefault="009A5D18" w:rsidP="009A5D18">
            <w:pPr>
              <w:autoSpaceDE w:val="0"/>
              <w:autoSpaceDN w:val="0"/>
              <w:adjustRightInd w:val="0"/>
              <w:spacing w:after="0" w:line="240" w:lineRule="auto"/>
              <w:jc w:val="center"/>
              <w:rPr>
                <w:rFonts w:ascii="Comic Sans MS" w:hAnsi="Comic Sans MS" w:cs="Calibri"/>
                <w:color w:val="000000"/>
                <w:sz w:val="20"/>
                <w:szCs w:val="20"/>
              </w:rPr>
            </w:pPr>
            <w:r w:rsidRPr="009A5D18">
              <w:rPr>
                <w:rFonts w:ascii="Comic Sans MS" w:hAnsi="Comic Sans MS" w:cs="Calibri"/>
                <w:color w:val="000000"/>
                <w:sz w:val="20"/>
                <w:szCs w:val="20"/>
              </w:rPr>
              <w:t>20.0</w:t>
            </w:r>
          </w:p>
        </w:tc>
      </w:tr>
      <w:tr w:rsidR="00584702" w:rsidRPr="00E73E2C" w:rsidTr="00584702">
        <w:trPr>
          <w:trHeight w:val="223"/>
        </w:trPr>
        <w:tc>
          <w:tcPr>
            <w:tcW w:w="5637" w:type="dxa"/>
          </w:tcPr>
          <w:p w:rsidR="00584702" w:rsidRPr="005644C5" w:rsidRDefault="00584702" w:rsidP="00AA6344">
            <w:pPr>
              <w:autoSpaceDE w:val="0"/>
              <w:autoSpaceDN w:val="0"/>
              <w:adjustRightInd w:val="0"/>
              <w:spacing w:after="0" w:line="240" w:lineRule="auto"/>
              <w:rPr>
                <w:rFonts w:ascii="Comic Sans MS" w:hAnsi="Comic Sans MS" w:cs="Calibri"/>
                <w:color w:val="000000"/>
                <w:sz w:val="20"/>
                <w:szCs w:val="20"/>
              </w:rPr>
            </w:pPr>
            <w:r w:rsidRPr="005644C5">
              <w:rPr>
                <w:rFonts w:ascii="Comic Sans MS" w:hAnsi="Comic Sans MS" w:cs="Calibri"/>
                <w:color w:val="000000"/>
                <w:sz w:val="20"/>
                <w:szCs w:val="20"/>
              </w:rPr>
              <w:t xml:space="preserve">% </w:t>
            </w:r>
            <w:r>
              <w:rPr>
                <w:rFonts w:ascii="Comic Sans MS" w:hAnsi="Comic Sans MS" w:cs="Calibri"/>
                <w:color w:val="000000"/>
                <w:sz w:val="20"/>
                <w:szCs w:val="20"/>
              </w:rPr>
              <w:t>of Thrive pupils making 7 or more steps of progress</w:t>
            </w:r>
          </w:p>
        </w:tc>
        <w:tc>
          <w:tcPr>
            <w:tcW w:w="1230" w:type="dxa"/>
          </w:tcPr>
          <w:p w:rsidR="00584702" w:rsidRPr="00584702" w:rsidRDefault="009A5D18" w:rsidP="009A5D18">
            <w:pPr>
              <w:autoSpaceDE w:val="0"/>
              <w:autoSpaceDN w:val="0"/>
              <w:adjustRightInd w:val="0"/>
              <w:spacing w:after="0" w:line="240" w:lineRule="auto"/>
              <w:jc w:val="center"/>
              <w:rPr>
                <w:rFonts w:ascii="Comic Sans MS" w:hAnsi="Comic Sans MS" w:cs="Calibri"/>
                <w:b/>
                <w:color w:val="000000"/>
                <w:sz w:val="20"/>
                <w:szCs w:val="20"/>
              </w:rPr>
            </w:pPr>
            <w:r>
              <w:rPr>
                <w:rFonts w:ascii="Comic Sans MS" w:hAnsi="Comic Sans MS" w:cs="Calibri"/>
                <w:b/>
                <w:color w:val="000000"/>
                <w:sz w:val="20"/>
                <w:szCs w:val="20"/>
              </w:rPr>
              <w:t>32.1</w:t>
            </w:r>
          </w:p>
        </w:tc>
        <w:tc>
          <w:tcPr>
            <w:tcW w:w="1230" w:type="dxa"/>
          </w:tcPr>
          <w:p w:rsidR="00584702" w:rsidRPr="00584702" w:rsidRDefault="009A5D18" w:rsidP="009A5D18">
            <w:pPr>
              <w:autoSpaceDE w:val="0"/>
              <w:autoSpaceDN w:val="0"/>
              <w:adjustRightInd w:val="0"/>
              <w:spacing w:after="0" w:line="240" w:lineRule="auto"/>
              <w:jc w:val="center"/>
              <w:rPr>
                <w:rFonts w:ascii="Comic Sans MS" w:hAnsi="Comic Sans MS" w:cs="Calibri"/>
                <w:b/>
                <w:color w:val="000000"/>
                <w:sz w:val="20"/>
                <w:szCs w:val="20"/>
              </w:rPr>
            </w:pPr>
            <w:r>
              <w:rPr>
                <w:rFonts w:ascii="Comic Sans MS" w:hAnsi="Comic Sans MS" w:cs="Calibri"/>
                <w:b/>
                <w:color w:val="000000"/>
                <w:sz w:val="20"/>
                <w:szCs w:val="20"/>
              </w:rPr>
              <w:t>28.6</w:t>
            </w:r>
          </w:p>
        </w:tc>
        <w:tc>
          <w:tcPr>
            <w:tcW w:w="1231" w:type="dxa"/>
          </w:tcPr>
          <w:p w:rsidR="00584702" w:rsidRPr="009A5D18" w:rsidRDefault="009A5D18" w:rsidP="009A5D18">
            <w:pPr>
              <w:autoSpaceDE w:val="0"/>
              <w:autoSpaceDN w:val="0"/>
              <w:adjustRightInd w:val="0"/>
              <w:spacing w:after="0" w:line="240" w:lineRule="auto"/>
              <w:jc w:val="center"/>
              <w:rPr>
                <w:rFonts w:ascii="Comic Sans MS" w:hAnsi="Comic Sans MS" w:cs="Calibri"/>
                <w:b/>
                <w:color w:val="000000"/>
                <w:sz w:val="20"/>
                <w:szCs w:val="20"/>
              </w:rPr>
            </w:pPr>
            <w:r w:rsidRPr="009A5D18">
              <w:rPr>
                <w:rFonts w:ascii="Comic Sans MS" w:hAnsi="Comic Sans MS" w:cs="Calibri"/>
                <w:b/>
                <w:color w:val="000000"/>
                <w:sz w:val="20"/>
                <w:szCs w:val="20"/>
              </w:rPr>
              <w:t>25.0</w:t>
            </w:r>
          </w:p>
        </w:tc>
      </w:tr>
    </w:tbl>
    <w:p w:rsidR="008371F2" w:rsidRDefault="008371F2"/>
    <w:p w:rsidR="008371F2" w:rsidRDefault="008371F2"/>
    <w:p w:rsidR="000342DF" w:rsidRPr="00A37BE0" w:rsidRDefault="000342DF" w:rsidP="00A37BE0">
      <w:pPr>
        <w:rPr>
          <w:rFonts w:ascii="Comic Sans MS" w:hAnsi="Comic Sans MS" w:cs="Comic Sans MS"/>
          <w:color w:val="000000"/>
        </w:rPr>
      </w:pPr>
    </w:p>
    <w:p w:rsidR="00B93EF6" w:rsidRDefault="00B93EF6" w:rsidP="00BA5221">
      <w:pPr>
        <w:pStyle w:val="Default"/>
        <w:jc w:val="both"/>
        <w:rPr>
          <w:sz w:val="22"/>
          <w:szCs w:val="22"/>
        </w:rPr>
      </w:pPr>
    </w:p>
    <w:sectPr w:rsidR="00B93EF6" w:rsidSect="00FE5F9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51"/>
    <w:rsid w:val="000342DF"/>
    <w:rsid w:val="0006714D"/>
    <w:rsid w:val="00090AAC"/>
    <w:rsid w:val="000C5EB7"/>
    <w:rsid w:val="000F4B75"/>
    <w:rsid w:val="001078BD"/>
    <w:rsid w:val="00111E4C"/>
    <w:rsid w:val="001661B8"/>
    <w:rsid w:val="0019325C"/>
    <w:rsid w:val="001942E8"/>
    <w:rsid w:val="001B1FE8"/>
    <w:rsid w:val="00201D59"/>
    <w:rsid w:val="00204AA2"/>
    <w:rsid w:val="00230A06"/>
    <w:rsid w:val="002641D8"/>
    <w:rsid w:val="0027686E"/>
    <w:rsid w:val="00287CCA"/>
    <w:rsid w:val="002E1CFB"/>
    <w:rsid w:val="0032487C"/>
    <w:rsid w:val="00333643"/>
    <w:rsid w:val="00345E32"/>
    <w:rsid w:val="003830A6"/>
    <w:rsid w:val="003D138A"/>
    <w:rsid w:val="0047441A"/>
    <w:rsid w:val="004800FE"/>
    <w:rsid w:val="00481CE4"/>
    <w:rsid w:val="004B08E9"/>
    <w:rsid w:val="005708E0"/>
    <w:rsid w:val="00584702"/>
    <w:rsid w:val="005B0B3C"/>
    <w:rsid w:val="005B146D"/>
    <w:rsid w:val="005B5941"/>
    <w:rsid w:val="005F2921"/>
    <w:rsid w:val="0064159F"/>
    <w:rsid w:val="00654CA0"/>
    <w:rsid w:val="00672D29"/>
    <w:rsid w:val="00692B05"/>
    <w:rsid w:val="00760B51"/>
    <w:rsid w:val="007D5F50"/>
    <w:rsid w:val="00832D35"/>
    <w:rsid w:val="008371F2"/>
    <w:rsid w:val="008440D9"/>
    <w:rsid w:val="00892E26"/>
    <w:rsid w:val="00971926"/>
    <w:rsid w:val="0098128A"/>
    <w:rsid w:val="00983369"/>
    <w:rsid w:val="00997151"/>
    <w:rsid w:val="009A5D18"/>
    <w:rsid w:val="00A0005C"/>
    <w:rsid w:val="00A37BE0"/>
    <w:rsid w:val="00A83A91"/>
    <w:rsid w:val="00B10209"/>
    <w:rsid w:val="00B279D8"/>
    <w:rsid w:val="00B40A67"/>
    <w:rsid w:val="00B40A6D"/>
    <w:rsid w:val="00B54105"/>
    <w:rsid w:val="00B93EF6"/>
    <w:rsid w:val="00BA5221"/>
    <w:rsid w:val="00BF6C54"/>
    <w:rsid w:val="00C10E9A"/>
    <w:rsid w:val="00C25001"/>
    <w:rsid w:val="00C37AEE"/>
    <w:rsid w:val="00D508FF"/>
    <w:rsid w:val="00D525D8"/>
    <w:rsid w:val="00D73B85"/>
    <w:rsid w:val="00D76B01"/>
    <w:rsid w:val="00E13018"/>
    <w:rsid w:val="00E56A8D"/>
    <w:rsid w:val="00F764FE"/>
    <w:rsid w:val="00FD53BA"/>
    <w:rsid w:val="00FE1DB1"/>
    <w:rsid w:val="00FE5F95"/>
    <w:rsid w:val="00FE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128A"/>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3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128A"/>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3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Bollands, Richard</dc:creator>
  <cp:lastModifiedBy>Bollands, Richard</cp:lastModifiedBy>
  <cp:revision>3</cp:revision>
  <cp:lastPrinted>2020-02-11T16:14:00Z</cp:lastPrinted>
  <dcterms:created xsi:type="dcterms:W3CDTF">2020-02-11T15:05:00Z</dcterms:created>
  <dcterms:modified xsi:type="dcterms:W3CDTF">2020-02-11T16:26:00Z</dcterms:modified>
</cp:coreProperties>
</file>